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F4869" w14:textId="6B0E057E" w:rsidR="00427F2B" w:rsidRPr="002957FD" w:rsidRDefault="00427F2B" w:rsidP="00EE77C4">
      <w:pPr>
        <w:spacing w:line="245" w:lineRule="auto"/>
        <w:jc w:val="center"/>
        <w:outlineLvl w:val="0"/>
        <w:rPr>
          <w:rFonts w:ascii="Aptos" w:hAnsi="Aptos" w:cs="Arial"/>
          <w:b/>
          <w:bCs/>
          <w:sz w:val="22"/>
          <w:szCs w:val="22"/>
        </w:rPr>
      </w:pPr>
      <w:r w:rsidRPr="002957FD">
        <w:rPr>
          <w:rFonts w:ascii="Aptos" w:hAnsi="Aptos" w:cs="Arial"/>
          <w:b/>
          <w:bCs/>
          <w:sz w:val="22"/>
          <w:szCs w:val="22"/>
        </w:rPr>
        <w:t>Supplemental Materials or MUC2025-</w:t>
      </w:r>
      <w:r w:rsidR="00C22202">
        <w:rPr>
          <w:rFonts w:ascii="Aptos" w:hAnsi="Aptos" w:cs="Arial"/>
          <w:b/>
          <w:bCs/>
          <w:sz w:val="22"/>
          <w:szCs w:val="22"/>
        </w:rPr>
        <w:t>016</w:t>
      </w:r>
      <w:r w:rsidRPr="002957FD">
        <w:rPr>
          <w:rFonts w:ascii="Aptos" w:hAnsi="Aptos" w:cs="Arial"/>
          <w:b/>
          <w:bCs/>
          <w:sz w:val="22"/>
          <w:szCs w:val="22"/>
        </w:rPr>
        <w:t>:</w:t>
      </w:r>
    </w:p>
    <w:p w14:paraId="1AE28500" w14:textId="77777777" w:rsidR="00427F2B" w:rsidRPr="002957FD" w:rsidRDefault="00427F2B" w:rsidP="00EE77C4">
      <w:pPr>
        <w:spacing w:line="245" w:lineRule="auto"/>
        <w:jc w:val="center"/>
        <w:outlineLvl w:val="0"/>
        <w:rPr>
          <w:rFonts w:ascii="Aptos" w:hAnsi="Aptos" w:cs="Arial"/>
          <w:b/>
          <w:bCs/>
          <w:sz w:val="22"/>
          <w:szCs w:val="22"/>
        </w:rPr>
      </w:pPr>
      <w:r w:rsidRPr="002957FD">
        <w:rPr>
          <w:rFonts w:ascii="Aptos" w:hAnsi="Aptos" w:cs="Arial"/>
          <w:b/>
          <w:bCs/>
          <w:sz w:val="22"/>
          <w:szCs w:val="22"/>
        </w:rPr>
        <w:t xml:space="preserve">Excess Antibiotic Duration for Adult Hospitalized Patients with Uncomplicated </w:t>
      </w:r>
    </w:p>
    <w:p w14:paraId="2ED8B5E5" w14:textId="2F2433C3" w:rsidR="00427F2B" w:rsidRPr="002957FD" w:rsidRDefault="00427F2B" w:rsidP="00EE77C4">
      <w:pPr>
        <w:spacing w:line="245" w:lineRule="auto"/>
        <w:jc w:val="center"/>
        <w:outlineLvl w:val="0"/>
        <w:rPr>
          <w:rFonts w:ascii="Aptos" w:hAnsi="Aptos" w:cs="Arial"/>
          <w:b/>
          <w:bCs/>
          <w:sz w:val="22"/>
          <w:szCs w:val="22"/>
        </w:rPr>
      </w:pPr>
      <w:r w:rsidRPr="002957FD">
        <w:rPr>
          <w:rFonts w:ascii="Aptos" w:hAnsi="Aptos" w:cs="Arial"/>
          <w:b/>
          <w:bCs/>
          <w:sz w:val="22"/>
          <w:szCs w:val="22"/>
        </w:rPr>
        <w:t>Community-Acquired Pneumonia</w:t>
      </w:r>
    </w:p>
    <w:p w14:paraId="392BCF16" w14:textId="77777777" w:rsidR="00427F2B" w:rsidRPr="002957FD" w:rsidRDefault="00427F2B" w:rsidP="00427F2B">
      <w:pPr>
        <w:spacing w:line="245" w:lineRule="auto"/>
        <w:jc w:val="center"/>
        <w:rPr>
          <w:rFonts w:ascii="Aptos" w:hAnsi="Aptos" w:cs="Arial"/>
          <w:sz w:val="22"/>
          <w:szCs w:val="22"/>
        </w:rPr>
      </w:pPr>
    </w:p>
    <w:p w14:paraId="6B01C08E" w14:textId="0C1CB362" w:rsidR="00CE5FBD" w:rsidRPr="00E65A2A" w:rsidRDefault="00DB5A5C" w:rsidP="00CE5FBD">
      <w:pPr>
        <w:rPr>
          <w:rFonts w:ascii="Aptos" w:hAnsi="Aptos" w:cs="Arial"/>
          <w:b/>
          <w:bCs/>
          <w:sz w:val="22"/>
          <w:szCs w:val="22"/>
        </w:rPr>
      </w:pPr>
      <w:r w:rsidRPr="00E65A2A">
        <w:rPr>
          <w:rFonts w:ascii="Aptos" w:hAnsi="Aptos" w:cs="Arial"/>
          <w:b/>
          <w:bCs/>
          <w:sz w:val="22"/>
          <w:szCs w:val="22"/>
        </w:rPr>
        <w:t>Data Used for Testing</w:t>
      </w:r>
    </w:p>
    <w:p w14:paraId="425EEA37" w14:textId="77777777" w:rsidR="00DB5A5C" w:rsidRPr="00E65A2A" w:rsidRDefault="00DB5A5C" w:rsidP="00CE5FBD">
      <w:pPr>
        <w:rPr>
          <w:rFonts w:ascii="Aptos" w:hAnsi="Aptos" w:cs="Arial"/>
          <w:b/>
          <w:bCs/>
          <w:sz w:val="22"/>
          <w:szCs w:val="22"/>
        </w:rPr>
      </w:pPr>
    </w:p>
    <w:p w14:paraId="2976BCF5" w14:textId="77777777" w:rsidR="00DB5A5C" w:rsidRPr="00E65A2A" w:rsidRDefault="00DB5A5C" w:rsidP="00DB5A5C">
      <w:pPr>
        <w:pStyle w:val="BodyText"/>
        <w:rPr>
          <w:rFonts w:ascii="Aptos" w:hAnsi="Aptos"/>
          <w:sz w:val="22"/>
          <w:szCs w:val="22"/>
        </w:rPr>
      </w:pPr>
      <w:r w:rsidRPr="00E65A2A">
        <w:rPr>
          <w:rFonts w:ascii="Aptos" w:hAnsi="Aptos"/>
          <w:sz w:val="22"/>
          <w:szCs w:val="22"/>
        </w:rPr>
        <w:t>We used data from 3 healthcare systems to test the measure. Each health system had different strengths to enable different validation or reliability testing:</w:t>
      </w:r>
    </w:p>
    <w:p w14:paraId="4B3BDC51" w14:textId="77777777" w:rsidR="00DB5A5C" w:rsidRPr="00E65A2A" w:rsidRDefault="00DB5A5C" w:rsidP="00DB5A5C">
      <w:pPr>
        <w:pStyle w:val="BodyText"/>
        <w:rPr>
          <w:rFonts w:ascii="Aptos" w:hAnsi="Aptos"/>
          <w:sz w:val="22"/>
          <w:szCs w:val="22"/>
        </w:rPr>
      </w:pPr>
    </w:p>
    <w:p w14:paraId="527FFD0C" w14:textId="77777777" w:rsidR="00DB5A5C" w:rsidRPr="00E65A2A" w:rsidRDefault="00DB5A5C" w:rsidP="00DB5A5C">
      <w:pPr>
        <w:pStyle w:val="BodyText"/>
        <w:numPr>
          <w:ilvl w:val="0"/>
          <w:numId w:val="5"/>
        </w:numPr>
        <w:rPr>
          <w:rFonts w:ascii="Aptos" w:hAnsi="Aptos"/>
          <w:sz w:val="22"/>
          <w:szCs w:val="22"/>
        </w:rPr>
      </w:pPr>
      <w:r w:rsidRPr="00E65A2A">
        <w:rPr>
          <w:rFonts w:ascii="Aptos" w:hAnsi="Aptos"/>
          <w:sz w:val="22"/>
          <w:szCs w:val="22"/>
        </w:rPr>
        <w:t xml:space="preserve">University of Michigan (Epic)- eCQM data were pulled from hospitalizations between 9/29/2015 and 12/11/2021 </w:t>
      </w:r>
    </w:p>
    <w:p w14:paraId="131B853C" w14:textId="36E17D73" w:rsidR="00DB5A5C" w:rsidRPr="00E65A2A" w:rsidRDefault="00DB5A5C" w:rsidP="00DB5A5C">
      <w:pPr>
        <w:pStyle w:val="BodyText"/>
        <w:numPr>
          <w:ilvl w:val="0"/>
          <w:numId w:val="4"/>
        </w:numPr>
        <w:rPr>
          <w:rFonts w:ascii="Aptos" w:hAnsi="Aptos"/>
          <w:sz w:val="22"/>
          <w:szCs w:val="22"/>
        </w:rPr>
      </w:pPr>
      <w:r w:rsidRPr="00E65A2A">
        <w:rPr>
          <w:rFonts w:ascii="Aptos" w:hAnsi="Aptos"/>
          <w:sz w:val="22"/>
          <w:szCs w:val="22"/>
        </w:rPr>
        <w:t>To assess measure validity, we compared eCQM data (i.e., University of Michigan Epic data) to existing chart review data from an ongoing 69 hospital collaborative quality initiative, the Michigan Hospital Medicine Safety Consortium (HMS). HMS collects pseudo-random data from hospitalized patients with community-acquired pneumonia across all 69 hospitals. Critically, they collect all the data necessary to assess this measure (including denominator/numerator inclusions/exclusions) and have used a chart-reviewed based version of the measure to improve care for hospitalized patients with pneumonia since 2015.</w:t>
      </w:r>
      <w:r w:rsidR="008B5AB8">
        <w:rPr>
          <w:rFonts w:ascii="Aptos" w:hAnsi="Aptos"/>
          <w:sz w:val="22"/>
          <w:szCs w:val="22"/>
        </w:rPr>
        <w:t>[24,68-71]</w:t>
      </w:r>
      <w:r w:rsidRPr="00E65A2A">
        <w:rPr>
          <w:rFonts w:ascii="Aptos" w:hAnsi="Aptos"/>
          <w:sz w:val="22"/>
          <w:szCs w:val="22"/>
        </w:rPr>
        <w:t xml:space="preserve"> We specifically used University of Michigan HMS data from a matching </w:t>
      </w:r>
      <w:proofErr w:type="gramStart"/>
      <w:r w:rsidRPr="00E65A2A">
        <w:rPr>
          <w:rFonts w:ascii="Aptos" w:hAnsi="Aptos"/>
          <w:sz w:val="22"/>
          <w:szCs w:val="22"/>
        </w:rPr>
        <w:t>time period</w:t>
      </w:r>
      <w:proofErr w:type="gramEnd"/>
      <w:r w:rsidRPr="00E65A2A">
        <w:rPr>
          <w:rFonts w:ascii="Aptos" w:hAnsi="Aptos"/>
          <w:sz w:val="22"/>
          <w:szCs w:val="22"/>
        </w:rPr>
        <w:t xml:space="preserve"> (9/29/2015-12/11/2021).</w:t>
      </w:r>
    </w:p>
    <w:p w14:paraId="21D31A67" w14:textId="1AD45D48" w:rsidR="00DB5A5C" w:rsidRPr="00E65A2A" w:rsidRDefault="00DB5A5C" w:rsidP="00DB5A5C">
      <w:pPr>
        <w:pStyle w:val="BodyText"/>
        <w:numPr>
          <w:ilvl w:val="0"/>
          <w:numId w:val="4"/>
        </w:numPr>
        <w:rPr>
          <w:rFonts w:ascii="Aptos" w:hAnsi="Aptos"/>
          <w:sz w:val="22"/>
          <w:szCs w:val="22"/>
        </w:rPr>
      </w:pPr>
      <w:r w:rsidRPr="00E65A2A">
        <w:rPr>
          <w:rFonts w:ascii="Aptos" w:hAnsi="Aptos"/>
          <w:sz w:val="22"/>
          <w:szCs w:val="22"/>
        </w:rPr>
        <w:t>Quality assurance data for HMS have been published previously.</w:t>
      </w:r>
      <w:r w:rsidR="008B5AB8">
        <w:rPr>
          <w:rFonts w:ascii="Aptos" w:hAnsi="Aptos"/>
          <w:sz w:val="22"/>
          <w:szCs w:val="22"/>
        </w:rPr>
        <w:t>[24,68-71]</w:t>
      </w:r>
      <w:r w:rsidRPr="00E65A2A">
        <w:rPr>
          <w:rFonts w:ascii="Aptos" w:hAnsi="Aptos"/>
          <w:sz w:val="22"/>
          <w:szCs w:val="22"/>
          <w:vertAlign w:val="superscript"/>
        </w:rPr>
        <w:t xml:space="preserve"> </w:t>
      </w:r>
      <w:r w:rsidRPr="00E65A2A">
        <w:rPr>
          <w:rFonts w:ascii="Aptos" w:hAnsi="Aptos"/>
          <w:sz w:val="22"/>
          <w:szCs w:val="22"/>
        </w:rPr>
        <w:t>In brief, trained data abstractors collect specific data from medical records in forms with pre-specified fields (e.g., max/min allowances). Abstractors undergo random audit to ensure data quality. HMS data have been used to inform two prior NQF-endorsed quality measures (NQF 3671 and 3690).</w:t>
      </w:r>
      <w:r w:rsidR="008B5AB8">
        <w:rPr>
          <w:rFonts w:ascii="Aptos" w:hAnsi="Aptos"/>
          <w:sz w:val="22"/>
          <w:szCs w:val="22"/>
        </w:rPr>
        <w:t>[71]</w:t>
      </w:r>
    </w:p>
    <w:p w14:paraId="3AA89F76" w14:textId="77777777" w:rsidR="00DB5A5C" w:rsidRPr="00E65A2A" w:rsidRDefault="00DB5A5C" w:rsidP="00DB5A5C">
      <w:pPr>
        <w:pStyle w:val="BodyText"/>
        <w:ind w:left="720"/>
        <w:rPr>
          <w:rFonts w:ascii="Aptos" w:hAnsi="Aptos"/>
          <w:sz w:val="22"/>
          <w:szCs w:val="22"/>
        </w:rPr>
      </w:pPr>
    </w:p>
    <w:p w14:paraId="71FA34A0" w14:textId="77777777" w:rsidR="00DB5A5C" w:rsidRPr="00E65A2A" w:rsidRDefault="00DB5A5C" w:rsidP="00DB5A5C">
      <w:pPr>
        <w:pStyle w:val="BodyText"/>
        <w:numPr>
          <w:ilvl w:val="0"/>
          <w:numId w:val="5"/>
        </w:numPr>
        <w:rPr>
          <w:rFonts w:ascii="Aptos" w:hAnsi="Aptos"/>
          <w:sz w:val="22"/>
          <w:szCs w:val="22"/>
        </w:rPr>
      </w:pPr>
      <w:r w:rsidRPr="00E65A2A">
        <w:rPr>
          <w:rFonts w:ascii="Aptos" w:hAnsi="Aptos"/>
          <w:sz w:val="22"/>
          <w:szCs w:val="22"/>
        </w:rPr>
        <w:t>University of Utah (Epic)- eCQM data pulled from hospitalizations between 1/1/2021 and 5/30/2022</w:t>
      </w:r>
    </w:p>
    <w:p w14:paraId="26C1D843" w14:textId="77777777" w:rsidR="00DB5A5C" w:rsidRPr="00E65A2A" w:rsidRDefault="00DB5A5C" w:rsidP="00DB5A5C">
      <w:pPr>
        <w:pStyle w:val="BodyText"/>
        <w:numPr>
          <w:ilvl w:val="0"/>
          <w:numId w:val="4"/>
        </w:numPr>
        <w:rPr>
          <w:rFonts w:ascii="Aptos" w:hAnsi="Aptos"/>
          <w:sz w:val="22"/>
          <w:szCs w:val="22"/>
        </w:rPr>
      </w:pPr>
      <w:r w:rsidRPr="00E65A2A">
        <w:rPr>
          <w:rFonts w:ascii="Aptos" w:hAnsi="Aptos"/>
          <w:sz w:val="22"/>
          <w:szCs w:val="22"/>
        </w:rPr>
        <w:t>To assess measure validity, we compared eCQM data (i.e., University of Utah Epic data) to chart review data obtained originally for the Inappropriate Diagnosis of Pneumonia measure (NQF 3671). Cases were manually abstracted by a physician reviewer to obtain the necessary data elements to assess antibiotic duration. Cases for abstraction were randomly selected from patients with a discharge diagnosis of pneumonia from 1/1/2021 and 5/30/2022. Electronic and chart review data were compared for key denominator/numerator variables included in both datasets.</w:t>
      </w:r>
    </w:p>
    <w:p w14:paraId="759238CF" w14:textId="77777777" w:rsidR="00DB5A5C" w:rsidRPr="00E65A2A" w:rsidRDefault="00DB5A5C" w:rsidP="00DB5A5C">
      <w:pPr>
        <w:pStyle w:val="BodyText"/>
        <w:ind w:left="720"/>
        <w:rPr>
          <w:rFonts w:ascii="Aptos" w:hAnsi="Aptos"/>
          <w:sz w:val="22"/>
          <w:szCs w:val="22"/>
        </w:rPr>
      </w:pPr>
    </w:p>
    <w:p w14:paraId="059A5F6E" w14:textId="50CB93FF" w:rsidR="00DB5A5C" w:rsidRPr="00E65A2A" w:rsidRDefault="001618A7" w:rsidP="00DB5A5C">
      <w:pPr>
        <w:pStyle w:val="BodyText"/>
        <w:numPr>
          <w:ilvl w:val="0"/>
          <w:numId w:val="5"/>
        </w:numPr>
        <w:rPr>
          <w:rFonts w:ascii="Aptos" w:hAnsi="Aptos"/>
          <w:sz w:val="22"/>
          <w:szCs w:val="22"/>
        </w:rPr>
      </w:pPr>
      <w:r>
        <w:rPr>
          <w:rFonts w:ascii="Aptos" w:hAnsi="Aptos"/>
          <w:sz w:val="22"/>
          <w:szCs w:val="22"/>
        </w:rPr>
        <w:t xml:space="preserve">US Department of </w:t>
      </w:r>
      <w:r w:rsidR="00DB5A5C" w:rsidRPr="00E65A2A">
        <w:rPr>
          <w:rFonts w:ascii="Aptos" w:hAnsi="Aptos"/>
          <w:sz w:val="22"/>
          <w:szCs w:val="22"/>
        </w:rPr>
        <w:t>Veterans Affairs (VA) Computerized Patient Records System (CPRS)- eCQM data were pulled from hospitalizations between January 1, 2022 and June 30, 2024 including 109 health care systems.</w:t>
      </w:r>
    </w:p>
    <w:p w14:paraId="0E4BA6C0" w14:textId="77777777" w:rsidR="00DB5A5C" w:rsidRPr="00E65A2A" w:rsidRDefault="00DB5A5C" w:rsidP="00DB5A5C">
      <w:pPr>
        <w:pStyle w:val="BodyText"/>
        <w:numPr>
          <w:ilvl w:val="0"/>
          <w:numId w:val="4"/>
        </w:numPr>
        <w:rPr>
          <w:rFonts w:ascii="Aptos" w:hAnsi="Aptos"/>
          <w:sz w:val="22"/>
          <w:szCs w:val="22"/>
        </w:rPr>
      </w:pPr>
      <w:r w:rsidRPr="00E65A2A">
        <w:rPr>
          <w:rFonts w:ascii="Aptos" w:hAnsi="Aptos"/>
          <w:sz w:val="22"/>
          <w:szCs w:val="22"/>
        </w:rPr>
        <w:t>These data were used to assess variation across hospitals and reliability</w:t>
      </w:r>
    </w:p>
    <w:p w14:paraId="0748D88A" w14:textId="77777777" w:rsidR="00DB5A5C" w:rsidRPr="00E65A2A" w:rsidRDefault="00DB5A5C" w:rsidP="00DB5A5C">
      <w:pPr>
        <w:pStyle w:val="BodyText"/>
        <w:numPr>
          <w:ilvl w:val="0"/>
          <w:numId w:val="4"/>
        </w:numPr>
        <w:rPr>
          <w:rFonts w:ascii="Aptos" w:hAnsi="Aptos"/>
          <w:sz w:val="22"/>
          <w:szCs w:val="22"/>
        </w:rPr>
      </w:pPr>
      <w:r w:rsidRPr="00E65A2A">
        <w:rPr>
          <w:rFonts w:ascii="Aptos" w:hAnsi="Aptos"/>
          <w:sz w:val="22"/>
          <w:szCs w:val="22"/>
        </w:rPr>
        <w:t xml:space="preserve">Notably, CPRS data have been recently used to inform a Battelle-endorsed quality measure (CBE ID: 4440e). </w:t>
      </w:r>
    </w:p>
    <w:p w14:paraId="10A7CFDF" w14:textId="77777777" w:rsidR="00DB5A5C" w:rsidRPr="00E65A2A" w:rsidRDefault="00DB5A5C" w:rsidP="00DB5A5C">
      <w:pPr>
        <w:pStyle w:val="BodyText"/>
        <w:ind w:left="720"/>
        <w:rPr>
          <w:rFonts w:ascii="Aptos" w:hAnsi="Aptos"/>
          <w:sz w:val="22"/>
          <w:szCs w:val="22"/>
        </w:rPr>
      </w:pPr>
    </w:p>
    <w:p w14:paraId="5A64897E" w14:textId="1A6803B1" w:rsidR="00DB5A5C" w:rsidRPr="00E65A2A" w:rsidRDefault="00DB5A5C" w:rsidP="00DB5A5C">
      <w:pPr>
        <w:rPr>
          <w:rFonts w:ascii="Aptos" w:hAnsi="Aptos" w:cs="Arial"/>
          <w:b/>
          <w:bCs/>
        </w:rPr>
      </w:pPr>
      <w:r w:rsidRPr="00E65A2A">
        <w:rPr>
          <w:rFonts w:ascii="Aptos" w:hAnsi="Aptos"/>
          <w:sz w:val="22"/>
          <w:szCs w:val="22"/>
        </w:rPr>
        <w:t>Technical Expert Panel (TEP): The TEP was comprised of stakeholders with diverse perspectives and areas of expertise representing a variety of professional organizations, non-profit organizations, and governmental agencies (details in Table</w:t>
      </w:r>
      <w:r w:rsidR="00E65A2A">
        <w:rPr>
          <w:rFonts w:ascii="Aptos" w:hAnsi="Aptos"/>
          <w:sz w:val="22"/>
          <w:szCs w:val="22"/>
        </w:rPr>
        <w:t xml:space="preserve"> 11</w:t>
      </w:r>
      <w:r w:rsidRPr="00E65A2A">
        <w:rPr>
          <w:rFonts w:ascii="Aptos" w:hAnsi="Aptos"/>
          <w:sz w:val="22"/>
          <w:szCs w:val="22"/>
        </w:rPr>
        <w:t>, below)</w:t>
      </w:r>
    </w:p>
    <w:p w14:paraId="0C88E424" w14:textId="77777777" w:rsidR="00DB5A5C" w:rsidRPr="00E65A2A" w:rsidRDefault="00DB5A5C" w:rsidP="00CE5FBD">
      <w:pPr>
        <w:rPr>
          <w:rFonts w:ascii="Aptos" w:hAnsi="Aptos" w:cs="Arial"/>
          <w:b/>
          <w:bCs/>
        </w:rPr>
      </w:pPr>
    </w:p>
    <w:p w14:paraId="1E687779" w14:textId="77777777" w:rsidR="00CE5FBD" w:rsidRPr="00E65A2A" w:rsidRDefault="00CE5FBD">
      <w:pPr>
        <w:rPr>
          <w:rFonts w:ascii="Aptos" w:hAnsi="Aptos" w:cs="Arial"/>
          <w:b/>
          <w:bCs/>
        </w:rPr>
      </w:pPr>
      <w:r w:rsidRPr="00E65A2A">
        <w:rPr>
          <w:rFonts w:ascii="Aptos" w:hAnsi="Aptos" w:cs="Arial"/>
          <w:b/>
          <w:bCs/>
        </w:rPr>
        <w:br w:type="page"/>
      </w:r>
    </w:p>
    <w:p w14:paraId="0DF45AF4" w14:textId="78A690BF" w:rsidR="000C6AEC" w:rsidRPr="00C84723" w:rsidRDefault="000C6AEC" w:rsidP="000C6AEC">
      <w:pPr>
        <w:pStyle w:val="BodyText"/>
        <w:spacing w:after="120"/>
        <w:rPr>
          <w:rFonts w:ascii="Aptos" w:hAnsi="Aptos"/>
          <w:b/>
          <w:bCs/>
          <w:sz w:val="22"/>
          <w:szCs w:val="22"/>
        </w:rPr>
      </w:pPr>
      <w:r w:rsidRPr="00C84723">
        <w:rPr>
          <w:rFonts w:ascii="Aptos" w:hAnsi="Aptos"/>
          <w:b/>
          <w:bCs/>
          <w:sz w:val="22"/>
          <w:szCs w:val="22"/>
        </w:rPr>
        <w:lastRenderedPageBreak/>
        <w:t>Minimum Sample Size</w:t>
      </w:r>
    </w:p>
    <w:p w14:paraId="7251EB19" w14:textId="6818DF87" w:rsidR="000C6AEC" w:rsidRPr="002957FD" w:rsidRDefault="000C6AEC" w:rsidP="000C6AEC">
      <w:pPr>
        <w:pStyle w:val="BodyText"/>
        <w:spacing w:after="120"/>
        <w:rPr>
          <w:rFonts w:ascii="Aptos" w:hAnsi="Aptos"/>
          <w:sz w:val="22"/>
          <w:szCs w:val="22"/>
        </w:rPr>
      </w:pPr>
      <w:r w:rsidRPr="00C84723">
        <w:rPr>
          <w:rFonts w:ascii="Aptos" w:hAnsi="Aptos"/>
          <w:b/>
          <w:bCs/>
          <w:sz w:val="22"/>
          <w:szCs w:val="22"/>
        </w:rPr>
        <w:t xml:space="preserve">Table </w:t>
      </w:r>
      <w:r w:rsidR="00AD40FF" w:rsidRPr="00C84723">
        <w:rPr>
          <w:rFonts w:ascii="Aptos" w:hAnsi="Aptos"/>
          <w:b/>
          <w:bCs/>
          <w:sz w:val="22"/>
          <w:szCs w:val="22"/>
        </w:rPr>
        <w:t>1</w:t>
      </w:r>
      <w:r w:rsidRPr="00C84723">
        <w:rPr>
          <w:rFonts w:ascii="Aptos" w:hAnsi="Aptos"/>
          <w:b/>
          <w:bCs/>
          <w:sz w:val="22"/>
          <w:szCs w:val="22"/>
        </w:rPr>
        <w:t>.</w:t>
      </w:r>
      <w:r w:rsidRPr="00C84723">
        <w:rPr>
          <w:rFonts w:ascii="Aptos" w:hAnsi="Aptos"/>
          <w:sz w:val="22"/>
          <w:szCs w:val="22"/>
        </w:rPr>
        <w:t xml:space="preserve"> Minimum annual number of qualifying cases needed for the denominator to reach each target reliability le</w:t>
      </w:r>
      <w:r w:rsidRPr="002957FD">
        <w:rPr>
          <w:rFonts w:ascii="Aptos" w:hAnsi="Aptos"/>
          <w:sz w:val="22"/>
          <w:szCs w:val="22"/>
        </w:rPr>
        <w:t>vel at a given facility</w:t>
      </w:r>
    </w:p>
    <w:tbl>
      <w:tblPr>
        <w:tblStyle w:val="TableGrid"/>
        <w:tblW w:w="0" w:type="auto"/>
        <w:tblLook w:val="04A0" w:firstRow="1" w:lastRow="0" w:firstColumn="1" w:lastColumn="0" w:noHBand="0" w:noVBand="1"/>
        <w:tblCaption w:val="Required sample sizes for reliability levels of 0.6 to 0.9"/>
        <w:tblDescription w:val="In order to achieve a desired reliability of 0.8, each hospital would need to include 49 cases annually. For acceptable reliability (0.7), 19 annual cases would be required, and for high reliability (0.9), 110 annual cases would be required."/>
      </w:tblPr>
      <w:tblGrid>
        <w:gridCol w:w="1795"/>
        <w:gridCol w:w="2700"/>
      </w:tblGrid>
      <w:tr w:rsidR="000C6AEC" w:rsidRPr="002957FD" w14:paraId="31EF0DFD" w14:textId="77777777" w:rsidTr="00E75BA0">
        <w:trPr>
          <w:cantSplit/>
          <w:tblHeader/>
        </w:trPr>
        <w:tc>
          <w:tcPr>
            <w:tcW w:w="1795" w:type="dxa"/>
            <w:hideMark/>
          </w:tcPr>
          <w:p w14:paraId="4BB52195" w14:textId="77777777" w:rsidR="000C6AEC" w:rsidRPr="002957FD" w:rsidRDefault="000C6AEC" w:rsidP="00E75BA0">
            <w:pPr>
              <w:jc w:val="center"/>
              <w:rPr>
                <w:rFonts w:ascii="Aptos" w:eastAsia="Aptos" w:hAnsi="Aptos" w:cs="Arial"/>
                <w:b/>
                <w:bCs/>
                <w:kern w:val="0"/>
              </w:rPr>
            </w:pPr>
            <w:r w:rsidRPr="002957FD">
              <w:rPr>
                <w:rFonts w:ascii="Aptos" w:eastAsia="Aptos" w:hAnsi="Aptos" w:cs="Arial"/>
                <w:b/>
                <w:bCs/>
                <w:kern w:val="0"/>
              </w:rPr>
              <w:t>Reliability</w:t>
            </w:r>
          </w:p>
          <w:p w14:paraId="7ED62293" w14:textId="77777777" w:rsidR="000C6AEC" w:rsidRPr="002957FD" w:rsidRDefault="000C6AEC" w:rsidP="00E75BA0">
            <w:pPr>
              <w:jc w:val="center"/>
              <w:rPr>
                <w:rFonts w:ascii="Aptos" w:eastAsia="Aptos" w:hAnsi="Aptos" w:cs="Arial"/>
                <w:b/>
                <w:bCs/>
                <w:kern w:val="0"/>
              </w:rPr>
            </w:pPr>
            <w:r w:rsidRPr="002957FD">
              <w:rPr>
                <w:rFonts w:ascii="Aptos" w:eastAsia="Aptos" w:hAnsi="Aptos" w:cs="Arial"/>
                <w:b/>
                <w:bCs/>
                <w:kern w:val="0"/>
              </w:rPr>
              <w:t>Threshold</w:t>
            </w:r>
          </w:p>
        </w:tc>
        <w:tc>
          <w:tcPr>
            <w:tcW w:w="2700" w:type="dxa"/>
            <w:hideMark/>
          </w:tcPr>
          <w:p w14:paraId="77F94C3F" w14:textId="77777777" w:rsidR="000C6AEC" w:rsidRPr="002957FD" w:rsidRDefault="000C6AEC" w:rsidP="00E75BA0">
            <w:pPr>
              <w:jc w:val="center"/>
              <w:rPr>
                <w:rFonts w:ascii="Aptos" w:eastAsia="Aptos" w:hAnsi="Aptos" w:cs="Arial"/>
                <w:b/>
                <w:bCs/>
                <w:kern w:val="0"/>
              </w:rPr>
            </w:pPr>
            <w:r w:rsidRPr="002957FD">
              <w:rPr>
                <w:rFonts w:ascii="Aptos" w:eastAsia="Aptos" w:hAnsi="Aptos" w:cs="Arial"/>
                <w:b/>
                <w:bCs/>
                <w:kern w:val="0"/>
              </w:rPr>
              <w:t>Minimum number of annual cases needed</w:t>
            </w:r>
          </w:p>
        </w:tc>
      </w:tr>
      <w:tr w:rsidR="000C6AEC" w:rsidRPr="002957FD" w14:paraId="05E1A161" w14:textId="77777777" w:rsidTr="00E75BA0">
        <w:trPr>
          <w:cantSplit/>
        </w:trPr>
        <w:tc>
          <w:tcPr>
            <w:tcW w:w="1795" w:type="dxa"/>
            <w:hideMark/>
          </w:tcPr>
          <w:p w14:paraId="3AF87B8D" w14:textId="77777777" w:rsidR="000C6AEC" w:rsidRPr="002957FD" w:rsidRDefault="000C6AEC" w:rsidP="00E75BA0">
            <w:pPr>
              <w:rPr>
                <w:rFonts w:ascii="Aptos" w:eastAsia="Aptos" w:hAnsi="Aptos" w:cs="Arial"/>
                <w:kern w:val="0"/>
              </w:rPr>
            </w:pPr>
            <w:r w:rsidRPr="002957FD">
              <w:rPr>
                <w:rFonts w:ascii="Aptos" w:eastAsia="Aptos" w:hAnsi="Aptos" w:cs="Arial"/>
                <w:kern w:val="0"/>
              </w:rPr>
              <w:t>0.6</w:t>
            </w:r>
          </w:p>
        </w:tc>
        <w:tc>
          <w:tcPr>
            <w:tcW w:w="2700" w:type="dxa"/>
          </w:tcPr>
          <w:p w14:paraId="69A8A57D" w14:textId="77777777" w:rsidR="000C6AEC" w:rsidRPr="002957FD" w:rsidRDefault="000C6AEC" w:rsidP="00E75BA0">
            <w:pPr>
              <w:rPr>
                <w:rFonts w:ascii="Aptos" w:eastAsia="Aptos" w:hAnsi="Aptos" w:cs="Arial"/>
                <w:kern w:val="0"/>
              </w:rPr>
            </w:pPr>
            <w:r w:rsidRPr="002957FD">
              <w:rPr>
                <w:rFonts w:ascii="Aptos" w:eastAsia="Aptos" w:hAnsi="Aptos" w:cs="Arial"/>
                <w:kern w:val="0"/>
              </w:rPr>
              <w:t>13</w:t>
            </w:r>
          </w:p>
        </w:tc>
      </w:tr>
      <w:tr w:rsidR="000C6AEC" w:rsidRPr="002957FD" w14:paraId="75204440" w14:textId="77777777" w:rsidTr="00E75BA0">
        <w:trPr>
          <w:cantSplit/>
        </w:trPr>
        <w:tc>
          <w:tcPr>
            <w:tcW w:w="1795" w:type="dxa"/>
            <w:hideMark/>
          </w:tcPr>
          <w:p w14:paraId="3BF8A81B" w14:textId="77777777" w:rsidR="000C6AEC" w:rsidRPr="002957FD" w:rsidRDefault="000C6AEC" w:rsidP="00E75BA0">
            <w:pPr>
              <w:rPr>
                <w:rFonts w:ascii="Aptos" w:eastAsia="Aptos" w:hAnsi="Aptos" w:cs="Arial"/>
                <w:kern w:val="0"/>
              </w:rPr>
            </w:pPr>
            <w:r w:rsidRPr="002957FD">
              <w:rPr>
                <w:rFonts w:ascii="Aptos" w:eastAsia="Aptos" w:hAnsi="Aptos" w:cs="Arial"/>
                <w:kern w:val="0"/>
              </w:rPr>
              <w:t>0.7</w:t>
            </w:r>
          </w:p>
        </w:tc>
        <w:tc>
          <w:tcPr>
            <w:tcW w:w="2700" w:type="dxa"/>
          </w:tcPr>
          <w:p w14:paraId="4D55F18B" w14:textId="77777777" w:rsidR="000C6AEC" w:rsidRPr="002957FD" w:rsidRDefault="000C6AEC" w:rsidP="00E75BA0">
            <w:pPr>
              <w:rPr>
                <w:rFonts w:ascii="Aptos" w:eastAsia="Aptos" w:hAnsi="Aptos" w:cs="Arial"/>
                <w:kern w:val="0"/>
              </w:rPr>
            </w:pPr>
            <w:r w:rsidRPr="002957FD">
              <w:rPr>
                <w:rFonts w:ascii="Aptos" w:eastAsia="Aptos" w:hAnsi="Aptos" w:cs="Arial"/>
                <w:kern w:val="0"/>
              </w:rPr>
              <w:t>19</w:t>
            </w:r>
          </w:p>
        </w:tc>
      </w:tr>
      <w:tr w:rsidR="000C6AEC" w:rsidRPr="002957FD" w14:paraId="4687BC5B" w14:textId="77777777" w:rsidTr="00E75BA0">
        <w:trPr>
          <w:cantSplit/>
        </w:trPr>
        <w:tc>
          <w:tcPr>
            <w:tcW w:w="1795" w:type="dxa"/>
            <w:hideMark/>
          </w:tcPr>
          <w:p w14:paraId="71E73486" w14:textId="77777777" w:rsidR="000C6AEC" w:rsidRPr="002957FD" w:rsidRDefault="000C6AEC" w:rsidP="00E75BA0">
            <w:pPr>
              <w:rPr>
                <w:rFonts w:ascii="Aptos" w:eastAsia="Aptos" w:hAnsi="Aptos" w:cs="Arial"/>
                <w:kern w:val="0"/>
              </w:rPr>
            </w:pPr>
            <w:r w:rsidRPr="002957FD">
              <w:rPr>
                <w:rFonts w:ascii="Aptos" w:eastAsia="Aptos" w:hAnsi="Aptos" w:cs="Arial"/>
                <w:kern w:val="0"/>
              </w:rPr>
              <w:t>0.8 (standard)</w:t>
            </w:r>
          </w:p>
        </w:tc>
        <w:tc>
          <w:tcPr>
            <w:tcW w:w="2700" w:type="dxa"/>
          </w:tcPr>
          <w:p w14:paraId="4DD6DA76" w14:textId="77777777" w:rsidR="000C6AEC" w:rsidRPr="002957FD" w:rsidRDefault="000C6AEC" w:rsidP="00E75BA0">
            <w:pPr>
              <w:rPr>
                <w:rFonts w:ascii="Aptos" w:eastAsia="Aptos" w:hAnsi="Aptos" w:cs="Arial"/>
                <w:kern w:val="0"/>
              </w:rPr>
            </w:pPr>
            <w:r w:rsidRPr="002957FD">
              <w:rPr>
                <w:rFonts w:ascii="Aptos" w:eastAsia="Aptos" w:hAnsi="Aptos" w:cs="Arial"/>
                <w:kern w:val="0"/>
              </w:rPr>
              <w:t>49</w:t>
            </w:r>
          </w:p>
        </w:tc>
      </w:tr>
      <w:tr w:rsidR="000C6AEC" w:rsidRPr="002957FD" w14:paraId="686F2D98" w14:textId="77777777" w:rsidTr="00E75BA0">
        <w:trPr>
          <w:cantSplit/>
        </w:trPr>
        <w:tc>
          <w:tcPr>
            <w:tcW w:w="1795" w:type="dxa"/>
            <w:hideMark/>
          </w:tcPr>
          <w:p w14:paraId="6051C094" w14:textId="77777777" w:rsidR="000C6AEC" w:rsidRPr="002957FD" w:rsidRDefault="000C6AEC" w:rsidP="00E75BA0">
            <w:pPr>
              <w:rPr>
                <w:rFonts w:ascii="Aptos" w:eastAsia="Aptos" w:hAnsi="Aptos" w:cs="Arial"/>
                <w:kern w:val="0"/>
              </w:rPr>
            </w:pPr>
            <w:r w:rsidRPr="002957FD">
              <w:rPr>
                <w:rFonts w:ascii="Aptos" w:eastAsia="Aptos" w:hAnsi="Aptos" w:cs="Arial"/>
                <w:kern w:val="0"/>
              </w:rPr>
              <w:t>0.9 (high)</w:t>
            </w:r>
          </w:p>
        </w:tc>
        <w:tc>
          <w:tcPr>
            <w:tcW w:w="2700" w:type="dxa"/>
          </w:tcPr>
          <w:p w14:paraId="3B55DF95" w14:textId="77777777" w:rsidR="000C6AEC" w:rsidRPr="002957FD" w:rsidRDefault="000C6AEC" w:rsidP="00E75BA0">
            <w:pPr>
              <w:rPr>
                <w:rFonts w:ascii="Aptos" w:eastAsia="Aptos" w:hAnsi="Aptos" w:cs="Arial"/>
                <w:kern w:val="0"/>
              </w:rPr>
            </w:pPr>
            <w:r w:rsidRPr="002957FD">
              <w:rPr>
                <w:rFonts w:ascii="Aptos" w:eastAsia="Aptos" w:hAnsi="Aptos" w:cs="Arial"/>
                <w:kern w:val="0"/>
              </w:rPr>
              <w:t>110</w:t>
            </w:r>
          </w:p>
        </w:tc>
      </w:tr>
    </w:tbl>
    <w:p w14:paraId="0C351197" w14:textId="77777777" w:rsidR="000C6AEC" w:rsidRPr="002957FD" w:rsidRDefault="000C6AEC" w:rsidP="000C6AEC">
      <w:pPr>
        <w:pStyle w:val="BodyText"/>
        <w:spacing w:after="120"/>
        <w:rPr>
          <w:rFonts w:ascii="Aptos" w:hAnsi="Aptos"/>
          <w:sz w:val="22"/>
          <w:szCs w:val="22"/>
        </w:rPr>
      </w:pPr>
    </w:p>
    <w:p w14:paraId="514F12B7" w14:textId="77777777" w:rsidR="00512A41" w:rsidRDefault="000C6AEC" w:rsidP="000C6AEC">
      <w:pPr>
        <w:pStyle w:val="BodyText"/>
        <w:rPr>
          <w:rFonts w:ascii="Aptos" w:hAnsi="Aptos"/>
          <w:sz w:val="22"/>
          <w:szCs w:val="22"/>
        </w:rPr>
      </w:pPr>
      <w:r w:rsidRPr="002957FD">
        <w:rPr>
          <w:rFonts w:ascii="Aptos" w:hAnsi="Aptos"/>
          <w:sz w:val="22"/>
          <w:szCs w:val="22"/>
        </w:rPr>
        <w:t xml:space="preserve">Values are estimated using the Spearman Brown prophecy formula and based upon data from 109 Veterans Affairs (VA) facilities between Jan 2022 – June 2024. </w:t>
      </w:r>
    </w:p>
    <w:p w14:paraId="191BC45A" w14:textId="77777777" w:rsidR="00512A41" w:rsidRDefault="00512A41" w:rsidP="000C6AEC">
      <w:pPr>
        <w:pStyle w:val="BodyText"/>
        <w:rPr>
          <w:rFonts w:ascii="Aptos" w:hAnsi="Aptos"/>
          <w:sz w:val="22"/>
          <w:szCs w:val="22"/>
        </w:rPr>
      </w:pPr>
    </w:p>
    <w:p w14:paraId="53F3CA2A" w14:textId="626B6BF1" w:rsidR="00512A41" w:rsidRDefault="00512A41" w:rsidP="00512A41">
      <w:pPr>
        <w:pStyle w:val="NoSpacing"/>
      </w:pPr>
      <w:r>
        <w:t>The Spearman Brown Prophecy allows to an estimation of reliability after adjusting the number of measurements. We can use this formula to estimate the reliability of the measure within the cohort after adjusting the input (in this case the number of case abstractions per site). [</w:t>
      </w:r>
      <w:r w:rsidR="008B5AB8">
        <w:t>90,91</w:t>
      </w:r>
      <w:r>
        <w:t>] The Spearman Brown Formula states the following:</w:t>
      </w:r>
    </w:p>
    <w:p w14:paraId="4A9F8573" w14:textId="77777777" w:rsidR="00512A41" w:rsidRDefault="00512A41" w:rsidP="00512A41">
      <w:pPr>
        <w:pStyle w:val="NoSpacing"/>
        <w:ind w:left="720"/>
      </w:pPr>
    </w:p>
    <w:p w14:paraId="64CF5E99" w14:textId="77777777" w:rsidR="00512A41" w:rsidRDefault="00512A41" w:rsidP="00512A41">
      <w:pPr>
        <w:pStyle w:val="NoSpacing"/>
        <w:ind w:left="720"/>
      </w:pPr>
      <w:proofErr w:type="spellStart"/>
      <w:r>
        <w:t>Reliability</w:t>
      </w:r>
      <w:r>
        <w:rPr>
          <w:vertAlign w:val="subscript"/>
        </w:rPr>
        <w:t>new</w:t>
      </w:r>
      <w:proofErr w:type="spellEnd"/>
      <w:r>
        <w:rPr>
          <w:vertAlign w:val="subscript"/>
        </w:rPr>
        <w:t xml:space="preserve"> </w:t>
      </w:r>
      <w:r>
        <w:t xml:space="preserve">= (n*r)/(1+[n-1]*r) where n is the number of inputs and r is the prior reliability. </w:t>
      </w:r>
    </w:p>
    <w:p w14:paraId="026CFAEA" w14:textId="77777777" w:rsidR="00512A41" w:rsidRDefault="00512A41" w:rsidP="00512A41">
      <w:pPr>
        <w:pStyle w:val="NoSpacing"/>
        <w:ind w:left="720"/>
      </w:pPr>
    </w:p>
    <w:p w14:paraId="29E282A1" w14:textId="77777777" w:rsidR="00512A41" w:rsidRDefault="00512A41" w:rsidP="00512A41">
      <w:pPr>
        <w:pStyle w:val="NoSpacing"/>
        <w:ind w:left="720"/>
      </w:pPr>
      <w:r>
        <w:t>Adapting to the formula to our variables suggests the following:</w:t>
      </w:r>
    </w:p>
    <w:p w14:paraId="71BA26FD" w14:textId="77777777" w:rsidR="00512A41" w:rsidRDefault="00512A41" w:rsidP="00512A41">
      <w:pPr>
        <w:pStyle w:val="NoSpacing"/>
        <w:ind w:left="720"/>
      </w:pPr>
    </w:p>
    <w:p w14:paraId="0D76BA37" w14:textId="77777777" w:rsidR="00512A41" w:rsidRDefault="00512A41" w:rsidP="00512A41">
      <w:pPr>
        <w:pStyle w:val="NoSpacing"/>
        <w:ind w:left="720"/>
      </w:pPr>
      <w:proofErr w:type="spellStart"/>
      <w:r>
        <w:t>Reliability</w:t>
      </w:r>
      <w:r>
        <w:rPr>
          <w:vertAlign w:val="subscript"/>
        </w:rPr>
        <w:t>new</w:t>
      </w:r>
      <w:proofErr w:type="spellEnd"/>
      <w:r>
        <w:rPr>
          <w:vertAlign w:val="subscript"/>
        </w:rPr>
        <w:t xml:space="preserve"> </w:t>
      </w:r>
      <w:r>
        <w:t>= (number of cases *ICC)/(1+[number of cases -1]*ICC)</w:t>
      </w:r>
    </w:p>
    <w:p w14:paraId="1ED27EAA" w14:textId="77777777" w:rsidR="00512A41" w:rsidRDefault="00512A41" w:rsidP="00512A41">
      <w:pPr>
        <w:pStyle w:val="NoSpacing"/>
        <w:ind w:left="720"/>
      </w:pPr>
    </w:p>
    <w:p w14:paraId="0C51F975" w14:textId="77777777" w:rsidR="00512A41" w:rsidRDefault="00512A41" w:rsidP="00512A41">
      <w:pPr>
        <w:pStyle w:val="NoSpacing"/>
        <w:ind w:left="720"/>
      </w:pPr>
      <w:r>
        <w:t>and</w:t>
      </w:r>
    </w:p>
    <w:p w14:paraId="3FDBABBC" w14:textId="77777777" w:rsidR="00512A41" w:rsidRDefault="00512A41" w:rsidP="00512A41">
      <w:pPr>
        <w:pStyle w:val="NoSpacing"/>
        <w:ind w:left="720"/>
      </w:pPr>
    </w:p>
    <w:p w14:paraId="695827E8" w14:textId="77777777" w:rsidR="00512A41" w:rsidRDefault="00512A41" w:rsidP="00512A41">
      <w:pPr>
        <w:pStyle w:val="NoSpacing"/>
        <w:ind w:left="720"/>
      </w:pPr>
      <w:proofErr w:type="spellStart"/>
      <w:r>
        <w:t>Reliability</w:t>
      </w:r>
      <w:r>
        <w:rPr>
          <w:vertAlign w:val="subscript"/>
        </w:rPr>
        <w:t>median</w:t>
      </w:r>
      <w:proofErr w:type="spellEnd"/>
      <w:r>
        <w:rPr>
          <w:vertAlign w:val="subscript"/>
        </w:rPr>
        <w:t xml:space="preserve"> </w:t>
      </w:r>
      <w:r>
        <w:t>= (median number of cases *ICC)/(1+[median number of cases -1]*ICC)</w:t>
      </w:r>
    </w:p>
    <w:p w14:paraId="75FFDC99" w14:textId="77777777" w:rsidR="00512A41" w:rsidRDefault="00512A41" w:rsidP="00512A41">
      <w:pPr>
        <w:pStyle w:val="NoSpacing"/>
        <w:ind w:left="720"/>
      </w:pPr>
    </w:p>
    <w:p w14:paraId="73BEDA4E" w14:textId="77777777" w:rsidR="00512A41" w:rsidRDefault="00512A41" w:rsidP="00512A41">
      <w:pPr>
        <w:pStyle w:val="NoSpacing"/>
      </w:pPr>
    </w:p>
    <w:p w14:paraId="7BC9E4EF" w14:textId="77777777" w:rsidR="00512A41" w:rsidRDefault="00512A41" w:rsidP="00512A41">
      <w:pPr>
        <w:pStyle w:val="NoSpacing"/>
      </w:pPr>
      <w:r>
        <w:t>The median case abstraction counts for the entire cohort was applied to the Spearman Brown Formula to obtain the overall reliability for the cohort.</w:t>
      </w:r>
    </w:p>
    <w:p w14:paraId="0B6095BF" w14:textId="77777777" w:rsidR="00512A41" w:rsidRDefault="00512A41" w:rsidP="00512A41">
      <w:pPr>
        <w:pStyle w:val="NoSpacing"/>
      </w:pPr>
    </w:p>
    <w:p w14:paraId="135D69AD" w14:textId="77777777" w:rsidR="00512A41" w:rsidRDefault="00512A41" w:rsidP="00512A41">
      <w:pPr>
        <w:pStyle w:val="BodyText"/>
        <w:rPr>
          <w:rFonts w:asciiTheme="minorHAnsi" w:hAnsiTheme="minorHAnsi"/>
          <w:sz w:val="22"/>
          <w:szCs w:val="22"/>
        </w:rPr>
      </w:pPr>
      <w:r>
        <w:rPr>
          <w:rFonts w:asciiTheme="minorHAnsi" w:hAnsiTheme="minorHAnsi"/>
          <w:sz w:val="22"/>
          <w:szCs w:val="22"/>
        </w:rPr>
        <w:t xml:space="preserve">Thus, from the 109 VA hospitals, </w:t>
      </w:r>
      <w:r w:rsidRPr="00630C5A">
        <w:rPr>
          <w:rFonts w:asciiTheme="minorHAnsi" w:hAnsiTheme="minorHAnsi"/>
          <w:sz w:val="22"/>
          <w:szCs w:val="22"/>
        </w:rPr>
        <w:t>we identified the following:</w:t>
      </w:r>
    </w:p>
    <w:p w14:paraId="4B5DDC43" w14:textId="77777777" w:rsidR="00512A41" w:rsidRPr="00630C5A" w:rsidRDefault="00512A41" w:rsidP="00512A41">
      <w:pPr>
        <w:pStyle w:val="BodyText"/>
        <w:rPr>
          <w:rFonts w:asciiTheme="minorHAnsi" w:hAnsiTheme="minorHAnsi"/>
          <w:sz w:val="22"/>
          <w:szCs w:val="22"/>
        </w:rPr>
      </w:pPr>
    </w:p>
    <w:p w14:paraId="508935A3" w14:textId="77777777" w:rsidR="000C6AEC" w:rsidRPr="002957FD" w:rsidRDefault="000C6AEC" w:rsidP="000C6AEC">
      <w:pPr>
        <w:pStyle w:val="BodyText"/>
        <w:rPr>
          <w:rFonts w:ascii="Aptos" w:hAnsi="Aptos"/>
          <w:sz w:val="22"/>
          <w:szCs w:val="22"/>
        </w:rPr>
      </w:pPr>
      <w:r w:rsidRPr="002957FD">
        <w:rPr>
          <w:rFonts w:ascii="Aptos" w:hAnsi="Aptos"/>
          <w:sz w:val="22"/>
          <w:szCs w:val="22"/>
        </w:rPr>
        <w:t>Total Variance: 3.560</w:t>
      </w:r>
    </w:p>
    <w:p w14:paraId="3ADB87AE" w14:textId="77777777" w:rsidR="000C6AEC" w:rsidRPr="002957FD" w:rsidRDefault="000C6AEC" w:rsidP="000C6AEC">
      <w:pPr>
        <w:pStyle w:val="BodyText"/>
        <w:rPr>
          <w:rFonts w:ascii="Aptos" w:hAnsi="Aptos"/>
          <w:sz w:val="22"/>
          <w:szCs w:val="22"/>
        </w:rPr>
      </w:pPr>
      <w:r w:rsidRPr="002957FD">
        <w:rPr>
          <w:rFonts w:ascii="Aptos" w:hAnsi="Aptos"/>
          <w:sz w:val="22"/>
          <w:szCs w:val="22"/>
        </w:rPr>
        <w:t>- Hospital Variance (signal): 0.2698</w:t>
      </w:r>
    </w:p>
    <w:p w14:paraId="12F0F368" w14:textId="77777777" w:rsidR="000C6AEC" w:rsidRPr="002957FD" w:rsidRDefault="000C6AEC" w:rsidP="000C6AEC">
      <w:pPr>
        <w:pStyle w:val="BodyText"/>
        <w:rPr>
          <w:rFonts w:ascii="Aptos" w:hAnsi="Aptos"/>
          <w:sz w:val="22"/>
          <w:szCs w:val="22"/>
        </w:rPr>
      </w:pPr>
      <w:r w:rsidRPr="002957FD">
        <w:rPr>
          <w:rFonts w:ascii="Aptos" w:hAnsi="Aptos"/>
          <w:sz w:val="22"/>
          <w:szCs w:val="22"/>
        </w:rPr>
        <w:t>- Within Hospital Variance (noise): 3.2899</w:t>
      </w:r>
    </w:p>
    <w:p w14:paraId="40B6A46A" w14:textId="77777777" w:rsidR="000C6AEC" w:rsidRPr="002957FD" w:rsidRDefault="000C6AEC" w:rsidP="000C6AEC">
      <w:pPr>
        <w:pStyle w:val="BodyText"/>
        <w:rPr>
          <w:rFonts w:ascii="Aptos" w:hAnsi="Aptos"/>
          <w:sz w:val="22"/>
          <w:szCs w:val="22"/>
        </w:rPr>
      </w:pPr>
      <w:r w:rsidRPr="002957FD">
        <w:rPr>
          <w:rFonts w:ascii="Aptos" w:hAnsi="Aptos"/>
          <w:sz w:val="22"/>
          <w:szCs w:val="22"/>
        </w:rPr>
        <w:t>Median (IQR) number of eligible cases per hospital per year (2023): 49 [28-78]</w:t>
      </w:r>
    </w:p>
    <w:p w14:paraId="39CE42DC" w14:textId="77777777" w:rsidR="000C6AEC" w:rsidRPr="002957FD" w:rsidRDefault="000C6AEC" w:rsidP="000C6AEC">
      <w:pPr>
        <w:pStyle w:val="BodyText"/>
        <w:rPr>
          <w:rFonts w:ascii="Aptos" w:hAnsi="Aptos"/>
          <w:sz w:val="22"/>
          <w:szCs w:val="22"/>
        </w:rPr>
      </w:pPr>
    </w:p>
    <w:p w14:paraId="38E7CF49" w14:textId="77777777" w:rsidR="000C6AEC" w:rsidRPr="002957FD" w:rsidRDefault="000C6AEC" w:rsidP="000C6AEC">
      <w:pPr>
        <w:pStyle w:val="BodyText"/>
        <w:rPr>
          <w:rFonts w:ascii="Aptos" w:hAnsi="Aptos"/>
          <w:sz w:val="22"/>
          <w:szCs w:val="22"/>
        </w:rPr>
      </w:pPr>
      <w:r w:rsidRPr="002957FD">
        <w:rPr>
          <w:rFonts w:ascii="Aptos" w:hAnsi="Aptos"/>
          <w:sz w:val="22"/>
          <w:szCs w:val="22"/>
        </w:rPr>
        <w:t>Based on this information, an intraclass correlation (ICC) was calculated.</w:t>
      </w:r>
    </w:p>
    <w:p w14:paraId="3007E36F" w14:textId="77777777" w:rsidR="000C6AEC" w:rsidRPr="002957FD" w:rsidRDefault="000C6AEC" w:rsidP="000C6AEC">
      <w:pPr>
        <w:pStyle w:val="BodyText"/>
        <w:rPr>
          <w:rFonts w:ascii="Aptos" w:hAnsi="Aptos"/>
          <w:sz w:val="22"/>
          <w:szCs w:val="22"/>
        </w:rPr>
      </w:pPr>
      <w:r w:rsidRPr="002957FD">
        <w:rPr>
          <w:rFonts w:ascii="Aptos" w:hAnsi="Aptos"/>
          <w:sz w:val="22"/>
          <w:szCs w:val="22"/>
        </w:rPr>
        <w:t>ICC=0.2698/(0.2698+3.2899)= 0.2698/3.560=0.0758</w:t>
      </w:r>
    </w:p>
    <w:p w14:paraId="39ACF0D7" w14:textId="77777777" w:rsidR="000C6AEC" w:rsidRPr="002957FD" w:rsidRDefault="000C6AEC" w:rsidP="000C6AEC">
      <w:pPr>
        <w:pStyle w:val="BodyText"/>
        <w:rPr>
          <w:rFonts w:ascii="Aptos" w:hAnsi="Aptos"/>
          <w:sz w:val="22"/>
          <w:szCs w:val="22"/>
        </w:rPr>
      </w:pPr>
    </w:p>
    <w:p w14:paraId="3AA047F0" w14:textId="77777777" w:rsidR="000C6AEC" w:rsidRPr="002957FD" w:rsidRDefault="000C6AEC" w:rsidP="000C6AEC">
      <w:pPr>
        <w:pStyle w:val="BodyText"/>
        <w:rPr>
          <w:rFonts w:ascii="Aptos" w:hAnsi="Aptos"/>
          <w:sz w:val="22"/>
          <w:szCs w:val="22"/>
        </w:rPr>
      </w:pPr>
      <w:r w:rsidRPr="002957FD">
        <w:rPr>
          <w:rFonts w:ascii="Aptos" w:hAnsi="Aptos"/>
          <w:sz w:val="22"/>
          <w:szCs w:val="22"/>
        </w:rPr>
        <w:t>Use the Spearman Brown Formula to obtain overall reliability of cohort</w:t>
      </w:r>
    </w:p>
    <w:p w14:paraId="31F4A83E" w14:textId="77777777" w:rsidR="000C6AEC" w:rsidRPr="002957FD" w:rsidRDefault="000C6AEC" w:rsidP="000C6AEC">
      <w:pPr>
        <w:pStyle w:val="BodyText"/>
        <w:rPr>
          <w:rFonts w:ascii="Aptos" w:hAnsi="Aptos"/>
          <w:sz w:val="22"/>
          <w:szCs w:val="22"/>
        </w:rPr>
      </w:pPr>
      <w:r w:rsidRPr="002957FD">
        <w:rPr>
          <w:rFonts w:ascii="Aptos" w:hAnsi="Aptos"/>
          <w:sz w:val="22"/>
          <w:szCs w:val="22"/>
        </w:rPr>
        <w:t>Example: For median annual cases of 49 (from VA 2023 data)</w:t>
      </w:r>
    </w:p>
    <w:p w14:paraId="11E71523" w14:textId="77777777" w:rsidR="000C6AEC" w:rsidRPr="002957FD" w:rsidRDefault="000C6AEC" w:rsidP="000C6AEC">
      <w:pPr>
        <w:pStyle w:val="BodyText"/>
        <w:rPr>
          <w:rFonts w:ascii="Aptos" w:hAnsi="Aptos"/>
          <w:sz w:val="22"/>
          <w:szCs w:val="22"/>
        </w:rPr>
      </w:pPr>
      <w:r w:rsidRPr="002957FD">
        <w:rPr>
          <w:rFonts w:ascii="Aptos" w:hAnsi="Aptos"/>
          <w:sz w:val="22"/>
          <w:szCs w:val="22"/>
        </w:rPr>
        <w:t>Median reliability: (69*0.0612)/(1+(69-1)* 0.0612)=0.801</w:t>
      </w:r>
    </w:p>
    <w:p w14:paraId="3B5D5EC2" w14:textId="77777777" w:rsidR="000C6AEC" w:rsidRPr="002957FD" w:rsidRDefault="000C6AEC" w:rsidP="00427F2B">
      <w:pPr>
        <w:spacing w:line="245" w:lineRule="auto"/>
        <w:rPr>
          <w:rFonts w:ascii="Aptos" w:hAnsi="Aptos" w:cs="Arial"/>
          <w:b/>
          <w:bCs/>
          <w:sz w:val="22"/>
          <w:szCs w:val="22"/>
        </w:rPr>
      </w:pPr>
    </w:p>
    <w:p w14:paraId="6058305A" w14:textId="77777777" w:rsidR="000C6AEC" w:rsidRPr="002957FD" w:rsidRDefault="000C6AEC" w:rsidP="00427F2B">
      <w:pPr>
        <w:spacing w:line="245" w:lineRule="auto"/>
        <w:rPr>
          <w:rFonts w:ascii="Aptos" w:hAnsi="Aptos" w:cs="Arial"/>
          <w:b/>
          <w:bCs/>
          <w:sz w:val="22"/>
          <w:szCs w:val="22"/>
        </w:rPr>
      </w:pPr>
    </w:p>
    <w:p w14:paraId="0A711D8F" w14:textId="15D4E6C1" w:rsidR="000C6AEC" w:rsidRPr="00C84723" w:rsidRDefault="000C6AEC" w:rsidP="000C6AEC">
      <w:pPr>
        <w:pStyle w:val="BodyText"/>
        <w:keepNext/>
        <w:keepLines/>
        <w:widowControl/>
        <w:rPr>
          <w:rFonts w:ascii="Aptos" w:hAnsi="Aptos"/>
          <w:sz w:val="22"/>
          <w:szCs w:val="22"/>
        </w:rPr>
      </w:pPr>
      <w:r w:rsidRPr="00C84723">
        <w:rPr>
          <w:rFonts w:ascii="Aptos" w:hAnsi="Aptos"/>
          <w:b/>
          <w:bCs/>
          <w:sz w:val="22"/>
          <w:szCs w:val="22"/>
        </w:rPr>
        <w:lastRenderedPageBreak/>
        <w:t xml:space="preserve">Table 2 </w:t>
      </w:r>
      <w:r w:rsidRPr="00C84723">
        <w:rPr>
          <w:rFonts w:ascii="Aptos" w:hAnsi="Aptos"/>
          <w:sz w:val="22"/>
          <w:szCs w:val="22"/>
        </w:rPr>
        <w:t>Accountable Entity-Level Reliability Testing Results</w:t>
      </w:r>
    </w:p>
    <w:p w14:paraId="63896FAC" w14:textId="77777777" w:rsidR="000C6AEC" w:rsidRPr="00C84723" w:rsidRDefault="000C6AEC" w:rsidP="000C6AEC">
      <w:pPr>
        <w:pStyle w:val="BodyText"/>
        <w:keepNext/>
        <w:keepLines/>
        <w:widowControl/>
        <w:rPr>
          <w:rFonts w:ascii="Aptos" w:hAnsi="Aptos"/>
          <w:sz w:val="22"/>
          <w:szCs w:val="22"/>
        </w:rPr>
      </w:pPr>
      <w:bookmarkStart w:id="0" w:name="_Hlk181192899"/>
    </w:p>
    <w:tbl>
      <w:tblPr>
        <w:tblStyle w:val="TableGrid"/>
        <w:tblW w:w="10160" w:type="dxa"/>
        <w:tblLayout w:type="fixed"/>
        <w:tblLook w:val="04A0" w:firstRow="1" w:lastRow="0" w:firstColumn="1" w:lastColumn="0" w:noHBand="0" w:noVBand="1"/>
      </w:tblPr>
      <w:tblGrid>
        <w:gridCol w:w="1160"/>
        <w:gridCol w:w="900"/>
        <w:gridCol w:w="675"/>
        <w:gridCol w:w="675"/>
        <w:gridCol w:w="675"/>
        <w:gridCol w:w="675"/>
        <w:gridCol w:w="675"/>
        <w:gridCol w:w="675"/>
        <w:gridCol w:w="675"/>
        <w:gridCol w:w="675"/>
        <w:gridCol w:w="675"/>
        <w:gridCol w:w="675"/>
        <w:gridCol w:w="675"/>
        <w:gridCol w:w="675"/>
      </w:tblGrid>
      <w:tr w:rsidR="000C6AEC" w:rsidRPr="00C52CC8" w14:paraId="3860DEE6" w14:textId="77777777" w:rsidTr="00512A41">
        <w:trPr>
          <w:cantSplit/>
          <w:trHeight w:val="300"/>
        </w:trPr>
        <w:tc>
          <w:tcPr>
            <w:tcW w:w="116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A8E0861" w14:textId="77777777" w:rsidR="000C6AEC" w:rsidRPr="00C84723" w:rsidRDefault="000C6AEC" w:rsidP="00E75BA0">
            <w:pPr>
              <w:keepNext/>
              <w:keepLines/>
              <w:jc w:val="center"/>
              <w:rPr>
                <w:rFonts w:ascii="Aptos" w:eastAsia="Calibri" w:hAnsi="Aptos" w:cs="Arial"/>
                <w:b/>
                <w:bCs/>
                <w:sz w:val="18"/>
                <w:szCs w:val="18"/>
              </w:rPr>
            </w:pPr>
            <w:bookmarkStart w:id="1" w:name="_Hlk179977116"/>
            <w:r w:rsidRPr="00C84723">
              <w:rPr>
                <w:rFonts w:ascii="Aptos" w:eastAsia="Calibri" w:hAnsi="Aptos" w:cs="Arial"/>
                <w:b/>
                <w:bCs/>
                <w:sz w:val="18"/>
                <w:szCs w:val="18"/>
              </w:rPr>
              <w:t>*</w:t>
            </w:r>
          </w:p>
        </w:tc>
        <w:tc>
          <w:tcPr>
            <w:tcW w:w="90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5E4447C" w14:textId="02B9B477" w:rsidR="000C6AEC" w:rsidRPr="00C84723" w:rsidRDefault="00512A41"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Overall Reliability of Entire Cohort</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41241B52"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Min</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138DD33"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1D8AC126"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1</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F209D8D"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514926C1"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2</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E608FC1"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5977D08E"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3</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488B1B9"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6B16F3C0"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4</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A91FC04"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7D7E1B9D"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5</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9F64108"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2729B86F"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6</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6953CB7"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2646E969"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7</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9752C14"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6F28A0F4"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8</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4B3987F"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78EDEA51"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9</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5A432FBE"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Decile</w:t>
            </w:r>
          </w:p>
          <w:p w14:paraId="5E8B71D9" w14:textId="77777777" w:rsidR="000C6AEC" w:rsidRPr="00C84723"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10</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69B8C44" w14:textId="77777777" w:rsidR="000C6AEC" w:rsidRPr="00287A25" w:rsidRDefault="000C6AEC" w:rsidP="00E75BA0">
            <w:pPr>
              <w:keepNext/>
              <w:keepLines/>
              <w:jc w:val="center"/>
              <w:rPr>
                <w:rFonts w:ascii="Aptos" w:eastAsia="Calibri" w:hAnsi="Aptos" w:cs="Arial"/>
                <w:b/>
                <w:bCs/>
                <w:color w:val="000000" w:themeColor="text1"/>
                <w:sz w:val="18"/>
                <w:szCs w:val="18"/>
              </w:rPr>
            </w:pPr>
            <w:r w:rsidRPr="00C84723">
              <w:rPr>
                <w:rFonts w:ascii="Aptos" w:eastAsia="Calibri" w:hAnsi="Aptos" w:cs="Arial"/>
                <w:b/>
                <w:bCs/>
                <w:color w:val="000000" w:themeColor="text1"/>
                <w:sz w:val="18"/>
                <w:szCs w:val="18"/>
              </w:rPr>
              <w:t>Max</w:t>
            </w:r>
          </w:p>
        </w:tc>
      </w:tr>
      <w:tr w:rsidR="000C6AEC" w:rsidRPr="00C52CC8" w14:paraId="10D18DD3" w14:textId="77777777" w:rsidTr="00512A41">
        <w:trPr>
          <w:cantSplit/>
          <w:trHeight w:val="300"/>
        </w:trPr>
        <w:tc>
          <w:tcPr>
            <w:tcW w:w="1160" w:type="dxa"/>
            <w:tcBorders>
              <w:top w:val="single" w:sz="8" w:space="0" w:color="auto"/>
              <w:left w:val="single" w:sz="8" w:space="0" w:color="auto"/>
              <w:bottom w:val="single" w:sz="8" w:space="0" w:color="auto"/>
              <w:right w:val="single" w:sz="8" w:space="0" w:color="auto"/>
            </w:tcBorders>
            <w:tcMar>
              <w:left w:w="29" w:type="dxa"/>
              <w:right w:w="29" w:type="dxa"/>
            </w:tcMar>
          </w:tcPr>
          <w:p w14:paraId="7754015B" w14:textId="77777777" w:rsidR="000C6AEC" w:rsidRPr="00287A25" w:rsidRDefault="000C6AEC" w:rsidP="00E75BA0">
            <w:pPr>
              <w:keepNext/>
              <w:keepLines/>
              <w:rPr>
                <w:rFonts w:ascii="Aptos" w:eastAsia="Calibri" w:hAnsi="Aptos" w:cs="Arial"/>
                <w:sz w:val="18"/>
                <w:szCs w:val="18"/>
              </w:rPr>
            </w:pPr>
            <w:r w:rsidRPr="00287A25">
              <w:rPr>
                <w:rFonts w:ascii="Aptos" w:eastAsia="Calibri" w:hAnsi="Aptos" w:cs="Arial"/>
                <w:sz w:val="18"/>
                <w:szCs w:val="18"/>
              </w:rPr>
              <w:t>Reliability</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CC4FE29"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99.9%</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C575FB5"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30.2%</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EFF837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62.7%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6418FE"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84.3%</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A1FA628"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90.1%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B363D3A"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91.6%</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AD794B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92.7%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B71F91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93.7%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E6EC14C"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94.4%</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9FA72E0"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95.5%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815D549"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96.4%</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8A45085"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97.3%</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2B1FA06"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98.3%</w:t>
            </w:r>
          </w:p>
        </w:tc>
      </w:tr>
      <w:tr w:rsidR="000C6AEC" w:rsidRPr="00C52CC8" w14:paraId="15867D0A" w14:textId="77777777" w:rsidTr="00512A41">
        <w:trPr>
          <w:cantSplit/>
          <w:trHeight w:val="300"/>
        </w:trPr>
        <w:tc>
          <w:tcPr>
            <w:tcW w:w="1160" w:type="dxa"/>
            <w:tcBorders>
              <w:top w:val="single" w:sz="8" w:space="0" w:color="auto"/>
              <w:left w:val="single" w:sz="8" w:space="0" w:color="auto"/>
              <w:bottom w:val="single" w:sz="8" w:space="0" w:color="auto"/>
              <w:right w:val="single" w:sz="8" w:space="0" w:color="auto"/>
            </w:tcBorders>
            <w:tcMar>
              <w:left w:w="29" w:type="dxa"/>
              <w:right w:w="29" w:type="dxa"/>
            </w:tcMar>
          </w:tcPr>
          <w:p w14:paraId="523AA2BB" w14:textId="77777777" w:rsidR="000C6AEC" w:rsidRPr="00287A25" w:rsidRDefault="000C6AEC" w:rsidP="00E75BA0">
            <w:pPr>
              <w:keepNext/>
              <w:keepLines/>
              <w:rPr>
                <w:rFonts w:ascii="Aptos" w:eastAsia="Calibri" w:hAnsi="Aptos" w:cs="Arial"/>
                <w:sz w:val="18"/>
                <w:szCs w:val="18"/>
              </w:rPr>
            </w:pPr>
            <w:r w:rsidRPr="00287A25">
              <w:rPr>
                <w:rFonts w:ascii="Aptos" w:eastAsia="Calibri" w:hAnsi="Aptos" w:cs="Arial"/>
                <w:sz w:val="18"/>
                <w:szCs w:val="18"/>
              </w:rPr>
              <w:t>Mean Performance Score</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E81B9E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39.8%</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1C67258"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20.0%</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51D6B1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45.5%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4A32CE0"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46.2%</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2FD523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34.2%</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489ED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42.7%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C0360A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33.4%</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8A095E7"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36.2%</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3A39C93"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38.1%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6BAB58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37.3%</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3D3CFB2"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39.7%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FD3A19B"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44.0%</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4EB64CA"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41.4%</w:t>
            </w:r>
          </w:p>
        </w:tc>
      </w:tr>
      <w:tr w:rsidR="000C6AEC" w:rsidRPr="00C52CC8" w14:paraId="5CD69082" w14:textId="77777777" w:rsidTr="00512A41">
        <w:trPr>
          <w:cantSplit/>
          <w:trHeight w:val="300"/>
        </w:trPr>
        <w:tc>
          <w:tcPr>
            <w:tcW w:w="1160" w:type="dxa"/>
            <w:tcBorders>
              <w:top w:val="single" w:sz="8" w:space="0" w:color="auto"/>
              <w:left w:val="single" w:sz="8" w:space="0" w:color="auto"/>
              <w:bottom w:val="single" w:sz="8" w:space="0" w:color="auto"/>
              <w:right w:val="single" w:sz="8" w:space="0" w:color="auto"/>
            </w:tcBorders>
            <w:tcMar>
              <w:left w:w="29" w:type="dxa"/>
              <w:right w:w="29" w:type="dxa"/>
            </w:tcMar>
          </w:tcPr>
          <w:p w14:paraId="6377B26F" w14:textId="77777777" w:rsidR="000C6AEC" w:rsidRPr="00287A25" w:rsidRDefault="000C6AEC" w:rsidP="00E75BA0">
            <w:pPr>
              <w:keepNext/>
              <w:keepLines/>
              <w:rPr>
                <w:rFonts w:ascii="Aptos" w:eastAsia="Calibri" w:hAnsi="Aptos" w:cs="Arial"/>
                <w:sz w:val="18"/>
                <w:szCs w:val="18"/>
              </w:rPr>
            </w:pPr>
            <w:r w:rsidRPr="00287A25">
              <w:rPr>
                <w:rFonts w:ascii="Aptos" w:eastAsia="Calibri" w:hAnsi="Aptos" w:cs="Arial"/>
                <w:sz w:val="18"/>
                <w:szCs w:val="18"/>
              </w:rPr>
              <w:t>N of Entities</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205494F"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109</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FDA0E47"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B628494"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D84D085"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406558"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07CB172"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AB01909"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10</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0BD5811"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AE87BC3"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3E0BDC9"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FDD889B"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0CE922D"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FCAA988" w14:textId="77777777" w:rsidR="000C6AEC" w:rsidRPr="00C95764" w:rsidRDefault="000C6AEC" w:rsidP="00E75BA0">
            <w:pPr>
              <w:keepNext/>
              <w:keepLines/>
              <w:jc w:val="center"/>
              <w:rPr>
                <w:rFonts w:eastAsia="Calibri" w:cstheme="minorHAnsi"/>
                <w:sz w:val="18"/>
                <w:szCs w:val="18"/>
              </w:rPr>
            </w:pPr>
            <w:r w:rsidRPr="00C95764">
              <w:rPr>
                <w:rFonts w:cstheme="minorHAnsi"/>
                <w:sz w:val="18"/>
                <w:szCs w:val="18"/>
              </w:rPr>
              <w:t>1</w:t>
            </w:r>
          </w:p>
        </w:tc>
      </w:tr>
      <w:tr w:rsidR="000C6AEC" w:rsidRPr="00C52CC8" w14:paraId="5B03DA7E" w14:textId="77777777" w:rsidTr="00512A41">
        <w:trPr>
          <w:cantSplit/>
          <w:trHeight w:val="300"/>
        </w:trPr>
        <w:tc>
          <w:tcPr>
            <w:tcW w:w="1160" w:type="dxa"/>
            <w:tcBorders>
              <w:top w:val="single" w:sz="8" w:space="0" w:color="auto"/>
              <w:left w:val="single" w:sz="8" w:space="0" w:color="auto"/>
              <w:bottom w:val="single" w:sz="8" w:space="0" w:color="auto"/>
              <w:right w:val="single" w:sz="8" w:space="0" w:color="auto"/>
            </w:tcBorders>
            <w:tcMar>
              <w:left w:w="29" w:type="dxa"/>
              <w:right w:w="29" w:type="dxa"/>
            </w:tcMar>
          </w:tcPr>
          <w:p w14:paraId="2E72BDB8" w14:textId="77777777" w:rsidR="000C6AEC" w:rsidRPr="00287A25" w:rsidRDefault="000C6AEC" w:rsidP="00E75BA0">
            <w:pPr>
              <w:keepLines/>
              <w:rPr>
                <w:rFonts w:ascii="Aptos" w:eastAsia="Calibri" w:hAnsi="Aptos" w:cs="Arial"/>
                <w:sz w:val="18"/>
                <w:szCs w:val="18"/>
              </w:rPr>
            </w:pPr>
            <w:r w:rsidRPr="00287A25">
              <w:rPr>
                <w:rFonts w:ascii="Aptos" w:eastAsia="Calibri" w:hAnsi="Aptos" w:cs="Arial"/>
                <w:sz w:val="18"/>
                <w:szCs w:val="18"/>
              </w:rPr>
              <w:t>N of Persons / Encounters / Episodes</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2E5044E"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28238</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6E2CA40"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575CFA5"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348</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3ABC7FA"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1026</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023B643"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1485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513E64F"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1851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777207E"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1953</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02659A9"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2635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A4AAB13"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3075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D91A2FC"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3845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7268866"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4784</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C4B656D"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7236</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37F0587" w14:textId="77777777" w:rsidR="000C6AEC" w:rsidRPr="00C95764" w:rsidRDefault="000C6AEC" w:rsidP="00E75BA0">
            <w:pPr>
              <w:keepLines/>
              <w:jc w:val="center"/>
              <w:rPr>
                <w:rFonts w:eastAsia="Calibri" w:cstheme="minorHAnsi"/>
                <w:sz w:val="18"/>
                <w:szCs w:val="18"/>
              </w:rPr>
            </w:pPr>
            <w:r w:rsidRPr="00C95764">
              <w:rPr>
                <w:rFonts w:cstheme="minorHAnsi"/>
                <w:sz w:val="18"/>
                <w:szCs w:val="18"/>
              </w:rPr>
              <w:t>988</w:t>
            </w:r>
          </w:p>
        </w:tc>
      </w:tr>
    </w:tbl>
    <w:bookmarkEnd w:id="1"/>
    <w:p w14:paraId="3DE1F46E" w14:textId="77777777" w:rsidR="000C6AEC" w:rsidRPr="004D0BC4" w:rsidRDefault="000C6AEC" w:rsidP="000C6AEC">
      <w:pPr>
        <w:rPr>
          <w:sz w:val="18"/>
          <w:szCs w:val="18"/>
        </w:rPr>
      </w:pPr>
      <w:r w:rsidRPr="004D0BC4">
        <w:rPr>
          <w:sz w:val="18"/>
          <w:szCs w:val="18"/>
        </w:rPr>
        <w:t>*</w:t>
      </w:r>
      <w:proofErr w:type="gramStart"/>
      <w:r w:rsidRPr="004D0BC4">
        <w:rPr>
          <w:sz w:val="18"/>
          <w:szCs w:val="18"/>
        </w:rPr>
        <w:t>cell</w:t>
      </w:r>
      <w:proofErr w:type="gramEnd"/>
      <w:r w:rsidRPr="004D0BC4">
        <w:rPr>
          <w:sz w:val="18"/>
          <w:szCs w:val="18"/>
        </w:rPr>
        <w:t xml:space="preserve"> intentionally left empty</w:t>
      </w:r>
    </w:p>
    <w:bookmarkEnd w:id="0"/>
    <w:p w14:paraId="042837D1" w14:textId="77777777" w:rsidR="00C84723" w:rsidRDefault="00C84723">
      <w:pPr>
        <w:rPr>
          <w:rFonts w:ascii="Arial" w:hAnsi="Arial" w:cs="Arial"/>
          <w:b/>
          <w:bCs/>
          <w:sz w:val="22"/>
          <w:szCs w:val="22"/>
        </w:rPr>
      </w:pPr>
    </w:p>
    <w:p w14:paraId="6D54D399" w14:textId="15F1F35E" w:rsidR="000C6AEC" w:rsidRDefault="000C6AEC">
      <w:pPr>
        <w:rPr>
          <w:rFonts w:ascii="Arial" w:hAnsi="Arial" w:cs="Arial"/>
          <w:b/>
          <w:bCs/>
          <w:sz w:val="22"/>
          <w:szCs w:val="22"/>
        </w:rPr>
      </w:pPr>
    </w:p>
    <w:p w14:paraId="171FEFC6" w14:textId="77777777" w:rsidR="00C84723" w:rsidRDefault="00C84723">
      <w:pPr>
        <w:rPr>
          <w:rFonts w:ascii="Arial" w:hAnsi="Arial" w:cs="Arial"/>
          <w:b/>
          <w:bCs/>
          <w:sz w:val="22"/>
          <w:szCs w:val="22"/>
        </w:rPr>
      </w:pPr>
    </w:p>
    <w:p w14:paraId="50209174" w14:textId="77777777" w:rsidR="00C84723" w:rsidRDefault="00C84723">
      <w:pPr>
        <w:rPr>
          <w:rFonts w:ascii="Arial" w:hAnsi="Arial" w:cs="Arial"/>
          <w:b/>
          <w:bCs/>
          <w:sz w:val="22"/>
          <w:szCs w:val="22"/>
        </w:rPr>
      </w:pPr>
    </w:p>
    <w:p w14:paraId="49E722E6" w14:textId="634D5E6E" w:rsidR="00E42323" w:rsidRDefault="00E42323" w:rsidP="00E42323">
      <w:pPr>
        <w:rPr>
          <w:rFonts w:ascii="Aptos" w:hAnsi="Aptos"/>
          <w:sz w:val="22"/>
          <w:szCs w:val="22"/>
        </w:rPr>
      </w:pPr>
      <w:bookmarkStart w:id="2" w:name="_Hlk181282805"/>
      <w:r w:rsidRPr="00C84723">
        <w:rPr>
          <w:rFonts w:ascii="Aptos" w:hAnsi="Aptos"/>
          <w:b/>
          <w:bCs/>
          <w:sz w:val="22"/>
          <w:szCs w:val="22"/>
        </w:rPr>
        <w:t xml:space="preserve">Figure </w:t>
      </w:r>
      <w:r w:rsidR="0079717E" w:rsidRPr="00C84723">
        <w:rPr>
          <w:rFonts w:ascii="Aptos" w:hAnsi="Aptos"/>
          <w:b/>
          <w:bCs/>
          <w:sz w:val="22"/>
          <w:szCs w:val="22"/>
        </w:rPr>
        <w:t>1</w:t>
      </w:r>
      <w:r w:rsidRPr="00C84723">
        <w:rPr>
          <w:rFonts w:ascii="Aptos" w:hAnsi="Aptos"/>
          <w:b/>
          <w:bCs/>
          <w:sz w:val="22"/>
          <w:szCs w:val="22"/>
        </w:rPr>
        <w:t xml:space="preserve">. </w:t>
      </w:r>
      <w:r w:rsidRPr="00C84723">
        <w:rPr>
          <w:rFonts w:ascii="Aptos" w:hAnsi="Aptos"/>
          <w:sz w:val="22"/>
          <w:szCs w:val="22"/>
        </w:rPr>
        <w:t>Relationship</w:t>
      </w:r>
      <w:r w:rsidRPr="002957FD">
        <w:rPr>
          <w:rFonts w:ascii="Aptos" w:hAnsi="Aptos"/>
          <w:sz w:val="22"/>
          <w:szCs w:val="22"/>
        </w:rPr>
        <w:t xml:space="preserve"> between excess antibiotic duration and inappropriately broad empiric antibiotic use.</w:t>
      </w:r>
    </w:p>
    <w:p w14:paraId="2DF20473" w14:textId="77777777" w:rsidR="002957FD" w:rsidRPr="002957FD" w:rsidRDefault="002957FD" w:rsidP="00E42323">
      <w:pPr>
        <w:rPr>
          <w:rFonts w:ascii="Aptos" w:hAnsi="Aptos"/>
          <w:sz w:val="22"/>
          <w:szCs w:val="22"/>
        </w:rPr>
      </w:pPr>
    </w:p>
    <w:p w14:paraId="4332C0D3" w14:textId="77777777" w:rsidR="00E42323" w:rsidRDefault="00E42323" w:rsidP="00E42323">
      <w:pPr>
        <w:rPr>
          <w:rFonts w:ascii="Aptos" w:hAnsi="Aptos"/>
          <w:b/>
          <w:bCs/>
        </w:rPr>
      </w:pPr>
      <w:bookmarkStart w:id="3" w:name="_Hlk181169403"/>
      <w:r>
        <w:rPr>
          <w:noProof/>
        </w:rPr>
        <w:drawing>
          <wp:inline distT="0" distB="0" distL="0" distR="0" wp14:anchorId="5E787AB0" wp14:editId="4F078CD3">
            <wp:extent cx="5112385" cy="3407862"/>
            <wp:effectExtent l="0" t="0" r="0" b="2540"/>
            <wp:docPr id="1371175721" name="Picture 1" descr="This is a scatter diagram plotting non-indicated empiric MDRO antibiotic use on the x-axis against excess antibiotic duration (&gt;=7 days). There is a weak positive correlation, R=0.3, p&lt;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75721" name="Picture 1" descr="This is a scatter diagram plotting non-indicated empiric MDRO antibiotic use on the x-axis against excess antibiotic duration (&gt;=7 days). There is a weak positive correlation, R=0.3, p&lt;0.0014."/>
                    <pic:cNvPicPr/>
                  </pic:nvPicPr>
                  <pic:blipFill>
                    <a:blip r:embed="rId8"/>
                    <a:stretch>
                      <a:fillRect/>
                    </a:stretch>
                  </pic:blipFill>
                  <pic:spPr>
                    <a:xfrm>
                      <a:off x="0" y="0"/>
                      <a:ext cx="5130445" cy="3419901"/>
                    </a:xfrm>
                    <a:prstGeom prst="rect">
                      <a:avLst/>
                    </a:prstGeom>
                  </pic:spPr>
                </pic:pic>
              </a:graphicData>
            </a:graphic>
          </wp:inline>
        </w:drawing>
      </w:r>
    </w:p>
    <w:p w14:paraId="0D1C2E61" w14:textId="77777777" w:rsidR="00E42323" w:rsidRDefault="00E42323" w:rsidP="00E42323">
      <w:pPr>
        <w:spacing w:line="264" w:lineRule="auto"/>
        <w:rPr>
          <w:rFonts w:ascii="Aptos" w:hAnsi="Aptos"/>
          <w:sz w:val="22"/>
          <w:szCs w:val="22"/>
        </w:rPr>
      </w:pPr>
      <w:bookmarkStart w:id="4" w:name="_Hlk180593287"/>
      <w:r>
        <w:rPr>
          <w:rFonts w:ascii="Aptos" w:hAnsi="Aptos"/>
          <w:sz w:val="22"/>
          <w:szCs w:val="22"/>
        </w:rPr>
        <w:t>MDRO= Multi-Drug-Resistant Organisms</w:t>
      </w:r>
    </w:p>
    <w:p w14:paraId="0D2BFCE8" w14:textId="77777777" w:rsidR="00E42323" w:rsidRPr="0058381B" w:rsidRDefault="00E42323" w:rsidP="00E42323">
      <w:pPr>
        <w:spacing w:line="264" w:lineRule="auto"/>
        <w:rPr>
          <w:rFonts w:ascii="Aptos" w:hAnsi="Aptos"/>
          <w:sz w:val="22"/>
          <w:szCs w:val="22"/>
        </w:rPr>
      </w:pPr>
      <w:r w:rsidRPr="0058381B">
        <w:rPr>
          <w:rFonts w:ascii="Aptos" w:hAnsi="Aptos"/>
          <w:sz w:val="22"/>
          <w:szCs w:val="22"/>
        </w:rPr>
        <w:t xml:space="preserve">Patient data from 109 VA hospitals between January 1, 2022 and June 30, 2024. </w:t>
      </w:r>
      <w:bookmarkStart w:id="5" w:name="_Hlk180668325"/>
      <w:r w:rsidRPr="0058381B">
        <w:rPr>
          <w:rFonts w:ascii="Aptos" w:hAnsi="Aptos"/>
          <w:sz w:val="22"/>
          <w:szCs w:val="22"/>
        </w:rPr>
        <w:t>Each hospital is represented as a dot with larger hospitals having larger dots.</w:t>
      </w:r>
    </w:p>
    <w:bookmarkEnd w:id="3"/>
    <w:bookmarkEnd w:id="4"/>
    <w:bookmarkEnd w:id="5"/>
    <w:p w14:paraId="6B921690" w14:textId="77777777" w:rsidR="00E42323" w:rsidRDefault="00E42323" w:rsidP="00E42323">
      <w:pPr>
        <w:rPr>
          <w:rFonts w:ascii="Arial" w:hAnsi="Arial" w:cs="Arial"/>
          <w:sz w:val="20"/>
          <w:szCs w:val="20"/>
        </w:rPr>
      </w:pPr>
    </w:p>
    <w:bookmarkEnd w:id="2"/>
    <w:p w14:paraId="7AA237A5" w14:textId="77777777" w:rsidR="008E209D" w:rsidRDefault="008E209D">
      <w:pPr>
        <w:rPr>
          <w:rFonts w:ascii="Arial" w:hAnsi="Arial" w:cs="Arial"/>
          <w:b/>
          <w:bCs/>
          <w:sz w:val="22"/>
          <w:szCs w:val="22"/>
          <w:highlight w:val="yellow"/>
        </w:rPr>
      </w:pPr>
      <w:r>
        <w:rPr>
          <w:rFonts w:ascii="Arial" w:hAnsi="Arial" w:cs="Arial"/>
          <w:b/>
          <w:bCs/>
          <w:sz w:val="22"/>
          <w:szCs w:val="22"/>
          <w:highlight w:val="yellow"/>
        </w:rPr>
        <w:br w:type="page"/>
      </w:r>
    </w:p>
    <w:p w14:paraId="5E10BF05" w14:textId="77777777" w:rsidR="008E209D" w:rsidRPr="008E209D" w:rsidRDefault="008E209D" w:rsidP="001847E7">
      <w:pPr>
        <w:rPr>
          <w:rFonts w:ascii="Arial" w:hAnsi="Arial" w:cs="Arial"/>
          <w:b/>
          <w:bCs/>
          <w:sz w:val="22"/>
          <w:szCs w:val="22"/>
        </w:rPr>
      </w:pPr>
    </w:p>
    <w:p w14:paraId="4FB97B47" w14:textId="77777777" w:rsidR="008D3B16" w:rsidRPr="006A0FFD" w:rsidRDefault="008D3B16" w:rsidP="008D3B16">
      <w:pPr>
        <w:rPr>
          <w:rFonts w:ascii="Arial" w:hAnsi="Arial" w:cs="Arial"/>
          <w:b/>
          <w:bCs/>
        </w:rPr>
      </w:pPr>
      <w:r w:rsidRPr="006A0FFD">
        <w:rPr>
          <w:rFonts w:ascii="Arial" w:hAnsi="Arial" w:cs="Arial"/>
          <w:b/>
          <w:bCs/>
        </w:rPr>
        <w:t>Validity Testing Results</w:t>
      </w:r>
    </w:p>
    <w:p w14:paraId="57E6E3AE" w14:textId="77777777" w:rsidR="008D3B16" w:rsidRDefault="008D3B16" w:rsidP="001847E7">
      <w:pPr>
        <w:rPr>
          <w:rFonts w:ascii="Arial" w:hAnsi="Arial" w:cs="Arial"/>
          <w:b/>
          <w:bCs/>
          <w:sz w:val="22"/>
          <w:szCs w:val="22"/>
          <w:highlight w:val="yellow"/>
        </w:rPr>
      </w:pPr>
    </w:p>
    <w:p w14:paraId="0E5586A5" w14:textId="5CAAE06F" w:rsidR="001847E7" w:rsidRDefault="001847E7" w:rsidP="001847E7">
      <w:pPr>
        <w:rPr>
          <w:rFonts w:ascii="Arial" w:hAnsi="Arial" w:cs="Arial"/>
          <w:sz w:val="22"/>
          <w:szCs w:val="22"/>
        </w:rPr>
      </w:pPr>
      <w:r w:rsidRPr="00C84723">
        <w:rPr>
          <w:rFonts w:ascii="Arial" w:hAnsi="Arial" w:cs="Arial"/>
          <w:b/>
          <w:bCs/>
          <w:sz w:val="22"/>
          <w:szCs w:val="22"/>
        </w:rPr>
        <w:t xml:space="preserve">Table </w:t>
      </w:r>
      <w:r w:rsidR="0079717E" w:rsidRPr="00C84723">
        <w:rPr>
          <w:rFonts w:ascii="Arial" w:hAnsi="Arial" w:cs="Arial"/>
          <w:b/>
          <w:bCs/>
          <w:sz w:val="22"/>
          <w:szCs w:val="22"/>
        </w:rPr>
        <w:t>3</w:t>
      </w:r>
      <w:r w:rsidRPr="00C84723">
        <w:rPr>
          <w:rFonts w:ascii="Arial" w:hAnsi="Arial" w:cs="Arial"/>
          <w:b/>
          <w:bCs/>
          <w:sz w:val="22"/>
          <w:szCs w:val="22"/>
        </w:rPr>
        <w:t xml:space="preserve">. </w:t>
      </w:r>
      <w:bookmarkStart w:id="6" w:name="_Hlk181285873"/>
      <w:r w:rsidRPr="00C84723">
        <w:rPr>
          <w:rFonts w:ascii="Arial" w:hAnsi="Arial" w:cs="Arial"/>
          <w:sz w:val="22"/>
          <w:szCs w:val="22"/>
        </w:rPr>
        <w:t>Sensitivity</w:t>
      </w:r>
      <w:r w:rsidRPr="0058381B">
        <w:rPr>
          <w:rFonts w:ascii="Arial" w:hAnsi="Arial" w:cs="Arial"/>
          <w:sz w:val="22"/>
          <w:szCs w:val="22"/>
        </w:rPr>
        <w:t>/Specificity of Exclusion Criteria Comparing eCQM and Chart Review (UM, n=592)</w:t>
      </w:r>
    </w:p>
    <w:p w14:paraId="79578A26" w14:textId="77777777" w:rsidR="002957FD" w:rsidRPr="0058381B" w:rsidRDefault="002957FD" w:rsidP="001847E7">
      <w:pPr>
        <w:rPr>
          <w:rFonts w:ascii="Arial" w:hAnsi="Arial" w:cs="Arial"/>
          <w:sz w:val="22"/>
          <w:szCs w:val="22"/>
        </w:rPr>
      </w:pPr>
    </w:p>
    <w:tbl>
      <w:tblPr>
        <w:tblStyle w:val="TableGrid"/>
        <w:tblW w:w="10435" w:type="dxa"/>
        <w:tblLayout w:type="fixed"/>
        <w:tblLook w:val="04A0" w:firstRow="1" w:lastRow="0" w:firstColumn="1" w:lastColumn="0" w:noHBand="0" w:noVBand="1"/>
        <w:tblCaption w:val="Table 20. Sensitivity/specificity of exclusion criteria comparing eCQM and chart review"/>
        <w:tblDescription w:val="eCQM and chart review data were compared to determine sensitivity and specificity for duration-specific denominator exclusions. Sensitivity for time to clinical stability was low (29%) but specifity was high (98%). Sensitivity and specificity for all other duration-specific exclusions was high (88%-100%)"/>
      </w:tblPr>
      <w:tblGrid>
        <w:gridCol w:w="3505"/>
        <w:gridCol w:w="1732"/>
        <w:gridCol w:w="1733"/>
        <w:gridCol w:w="1732"/>
        <w:gridCol w:w="1733"/>
      </w:tblGrid>
      <w:tr w:rsidR="001847E7" w:rsidRPr="00CF4443" w14:paraId="52728507" w14:textId="77777777" w:rsidTr="00E75BA0">
        <w:trPr>
          <w:cantSplit/>
          <w:tblHeader/>
        </w:trPr>
        <w:tc>
          <w:tcPr>
            <w:tcW w:w="3505" w:type="dxa"/>
            <w:vAlign w:val="center"/>
          </w:tcPr>
          <w:bookmarkEnd w:id="6"/>
          <w:p w14:paraId="021B0EFC" w14:textId="77777777" w:rsidR="001847E7" w:rsidRPr="0058381B" w:rsidRDefault="001847E7" w:rsidP="00E75BA0">
            <w:pPr>
              <w:pStyle w:val="ListParagraph"/>
              <w:spacing w:line="269" w:lineRule="auto"/>
              <w:ind w:left="0"/>
              <w:rPr>
                <w:rFonts w:ascii="Arial" w:hAnsi="Arial" w:cs="Arial"/>
                <w:b/>
                <w:bCs/>
                <w:sz w:val="20"/>
                <w:szCs w:val="20"/>
              </w:rPr>
            </w:pPr>
            <w:r>
              <w:rPr>
                <w:rFonts w:ascii="Arial" w:hAnsi="Arial" w:cs="Arial"/>
                <w:b/>
                <w:bCs/>
                <w:sz w:val="20"/>
                <w:szCs w:val="20"/>
              </w:rPr>
              <w:t>*</w:t>
            </w:r>
          </w:p>
        </w:tc>
        <w:tc>
          <w:tcPr>
            <w:tcW w:w="1732" w:type="dxa"/>
            <w:vAlign w:val="center"/>
          </w:tcPr>
          <w:p w14:paraId="631A7F02"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UM eCQM data (electronic) n (%)</w:t>
            </w:r>
          </w:p>
        </w:tc>
        <w:tc>
          <w:tcPr>
            <w:tcW w:w="1733" w:type="dxa"/>
            <w:vAlign w:val="center"/>
          </w:tcPr>
          <w:p w14:paraId="0A87690B"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UM HMS data (chart review) n (%)</w:t>
            </w:r>
          </w:p>
        </w:tc>
        <w:tc>
          <w:tcPr>
            <w:tcW w:w="1732" w:type="dxa"/>
            <w:shd w:val="clear" w:color="auto" w:fill="auto"/>
            <w:vAlign w:val="center"/>
          </w:tcPr>
          <w:p w14:paraId="07D5720A"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Sensitivity of UM eCQM (vs. UM HMS chart review)</w:t>
            </w:r>
          </w:p>
        </w:tc>
        <w:tc>
          <w:tcPr>
            <w:tcW w:w="1733" w:type="dxa"/>
            <w:shd w:val="clear" w:color="auto" w:fill="auto"/>
            <w:vAlign w:val="center"/>
          </w:tcPr>
          <w:p w14:paraId="22848F19"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 xml:space="preserve">Specificity of UM eCQM (vs. UM HMS chart review) </w:t>
            </w:r>
          </w:p>
        </w:tc>
      </w:tr>
      <w:tr w:rsidR="001847E7" w:rsidRPr="00CF4443" w14:paraId="544BDC61" w14:textId="77777777" w:rsidTr="00E75BA0">
        <w:trPr>
          <w:cantSplit/>
        </w:trPr>
        <w:tc>
          <w:tcPr>
            <w:tcW w:w="3505" w:type="dxa"/>
            <w:shd w:val="clear" w:color="auto" w:fill="C1E4F5" w:themeFill="accent1" w:themeFillTint="33"/>
          </w:tcPr>
          <w:p w14:paraId="0E663A4F" w14:textId="77777777" w:rsidR="001847E7" w:rsidRPr="0058381B" w:rsidRDefault="001847E7" w:rsidP="00E75BA0">
            <w:pPr>
              <w:pStyle w:val="ListParagraph"/>
              <w:spacing w:line="269" w:lineRule="auto"/>
              <w:ind w:left="0"/>
              <w:rPr>
                <w:rFonts w:ascii="Arial" w:hAnsi="Arial" w:cs="Arial"/>
                <w:b/>
                <w:bCs/>
                <w:sz w:val="20"/>
                <w:szCs w:val="20"/>
              </w:rPr>
            </w:pPr>
            <w:r w:rsidRPr="0058381B">
              <w:rPr>
                <w:rFonts w:ascii="Arial" w:hAnsi="Arial" w:cs="Arial"/>
                <w:b/>
                <w:bCs/>
                <w:sz w:val="20"/>
                <w:szCs w:val="20"/>
              </w:rPr>
              <w:t>Duration-specific Exclusions</w:t>
            </w:r>
          </w:p>
        </w:tc>
        <w:tc>
          <w:tcPr>
            <w:tcW w:w="1732" w:type="dxa"/>
            <w:shd w:val="clear" w:color="auto" w:fill="C1E4F5" w:themeFill="accent1" w:themeFillTint="33"/>
            <w:vAlign w:val="center"/>
          </w:tcPr>
          <w:p w14:paraId="02D7973C"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n=592</w:t>
            </w:r>
          </w:p>
        </w:tc>
        <w:tc>
          <w:tcPr>
            <w:tcW w:w="1733" w:type="dxa"/>
            <w:shd w:val="clear" w:color="auto" w:fill="C1E4F5" w:themeFill="accent1" w:themeFillTint="33"/>
            <w:vAlign w:val="center"/>
          </w:tcPr>
          <w:p w14:paraId="23D1848F"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n=592</w:t>
            </w:r>
          </w:p>
        </w:tc>
        <w:tc>
          <w:tcPr>
            <w:tcW w:w="1732" w:type="dxa"/>
            <w:shd w:val="clear" w:color="auto" w:fill="C1E4F5" w:themeFill="accent1" w:themeFillTint="33"/>
            <w:vAlign w:val="center"/>
          </w:tcPr>
          <w:p w14:paraId="37D7186D"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n=592</w:t>
            </w:r>
          </w:p>
        </w:tc>
        <w:tc>
          <w:tcPr>
            <w:tcW w:w="1733" w:type="dxa"/>
            <w:shd w:val="clear" w:color="auto" w:fill="C1E4F5" w:themeFill="accent1" w:themeFillTint="33"/>
            <w:vAlign w:val="center"/>
          </w:tcPr>
          <w:p w14:paraId="51D0DA19"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n=592</w:t>
            </w:r>
          </w:p>
        </w:tc>
      </w:tr>
      <w:tr w:rsidR="001847E7" w:rsidRPr="00CF4443" w14:paraId="053134B2" w14:textId="77777777" w:rsidTr="00E75BA0">
        <w:trPr>
          <w:cantSplit/>
        </w:trPr>
        <w:tc>
          <w:tcPr>
            <w:tcW w:w="3505" w:type="dxa"/>
          </w:tcPr>
          <w:p w14:paraId="7D525345" w14:textId="77777777" w:rsidR="001847E7" w:rsidRPr="0058381B" w:rsidRDefault="001847E7" w:rsidP="00E75BA0">
            <w:pPr>
              <w:pStyle w:val="ListParagraph"/>
              <w:spacing w:line="269" w:lineRule="auto"/>
              <w:ind w:left="0"/>
              <w:rPr>
                <w:rFonts w:ascii="Arial" w:hAnsi="Arial" w:cs="Arial"/>
                <w:sz w:val="20"/>
                <w:szCs w:val="20"/>
              </w:rPr>
            </w:pPr>
            <w:r w:rsidRPr="0058381B">
              <w:rPr>
                <w:rFonts w:ascii="Arial" w:hAnsi="Arial" w:cs="Arial"/>
                <w:sz w:val="20"/>
                <w:szCs w:val="20"/>
              </w:rPr>
              <w:t>Died during hospitalization</w:t>
            </w:r>
          </w:p>
        </w:tc>
        <w:tc>
          <w:tcPr>
            <w:tcW w:w="1732" w:type="dxa"/>
            <w:vAlign w:val="center"/>
          </w:tcPr>
          <w:p w14:paraId="5A517CB2"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2 (0.3%)</w:t>
            </w:r>
          </w:p>
        </w:tc>
        <w:tc>
          <w:tcPr>
            <w:tcW w:w="1733" w:type="dxa"/>
            <w:vAlign w:val="center"/>
          </w:tcPr>
          <w:p w14:paraId="0329919C"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2 (0.3%)</w:t>
            </w:r>
          </w:p>
        </w:tc>
        <w:tc>
          <w:tcPr>
            <w:tcW w:w="1732" w:type="dxa"/>
            <w:vAlign w:val="center"/>
          </w:tcPr>
          <w:p w14:paraId="6CC3B216"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(2/2)</w:t>
            </w:r>
          </w:p>
        </w:tc>
        <w:tc>
          <w:tcPr>
            <w:tcW w:w="1733" w:type="dxa"/>
            <w:vAlign w:val="center"/>
          </w:tcPr>
          <w:p w14:paraId="2A93DA7A"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(590/590)</w:t>
            </w:r>
          </w:p>
        </w:tc>
      </w:tr>
      <w:tr w:rsidR="001847E7" w:rsidRPr="00CF4443" w14:paraId="3AFF1B97" w14:textId="77777777" w:rsidTr="00E75BA0">
        <w:trPr>
          <w:cantSplit/>
        </w:trPr>
        <w:tc>
          <w:tcPr>
            <w:tcW w:w="3505" w:type="dxa"/>
          </w:tcPr>
          <w:p w14:paraId="4BBF30E2" w14:textId="77777777" w:rsidR="001847E7" w:rsidRPr="0058381B" w:rsidRDefault="001847E7" w:rsidP="00E75BA0">
            <w:pPr>
              <w:spacing w:line="269" w:lineRule="auto"/>
              <w:rPr>
                <w:rFonts w:ascii="Arial" w:hAnsi="Arial" w:cs="Arial"/>
                <w:sz w:val="20"/>
                <w:szCs w:val="20"/>
              </w:rPr>
            </w:pPr>
            <w:r w:rsidRPr="0058381B">
              <w:rPr>
                <w:rFonts w:ascii="Arial" w:hAnsi="Arial" w:cs="Arial"/>
                <w:sz w:val="20"/>
                <w:szCs w:val="20"/>
              </w:rPr>
              <w:t>Discharged to another hospital</w:t>
            </w:r>
          </w:p>
        </w:tc>
        <w:tc>
          <w:tcPr>
            <w:tcW w:w="1732" w:type="dxa"/>
            <w:vAlign w:val="center"/>
          </w:tcPr>
          <w:p w14:paraId="00C32BFE"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2 (0.3%)</w:t>
            </w:r>
          </w:p>
        </w:tc>
        <w:tc>
          <w:tcPr>
            <w:tcW w:w="1733" w:type="dxa"/>
            <w:vAlign w:val="center"/>
          </w:tcPr>
          <w:p w14:paraId="5A7B533D"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 (0.2%)</w:t>
            </w:r>
          </w:p>
        </w:tc>
        <w:tc>
          <w:tcPr>
            <w:tcW w:w="1732" w:type="dxa"/>
            <w:vAlign w:val="center"/>
          </w:tcPr>
          <w:p w14:paraId="48352C31"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(1/1)</w:t>
            </w:r>
          </w:p>
        </w:tc>
        <w:tc>
          <w:tcPr>
            <w:tcW w:w="1733" w:type="dxa"/>
            <w:vAlign w:val="center"/>
          </w:tcPr>
          <w:p w14:paraId="3AED41B9"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(590/591)</w:t>
            </w:r>
          </w:p>
        </w:tc>
      </w:tr>
      <w:tr w:rsidR="001847E7" w:rsidRPr="00CF4443" w14:paraId="0AE39DA2" w14:textId="77777777" w:rsidTr="00E75BA0">
        <w:trPr>
          <w:cantSplit/>
        </w:trPr>
        <w:tc>
          <w:tcPr>
            <w:tcW w:w="3505" w:type="dxa"/>
          </w:tcPr>
          <w:p w14:paraId="67D25156" w14:textId="77777777" w:rsidR="001847E7" w:rsidRPr="0058381B" w:rsidRDefault="001847E7" w:rsidP="00E75BA0">
            <w:pPr>
              <w:spacing w:line="269" w:lineRule="auto"/>
              <w:rPr>
                <w:rFonts w:ascii="Arial" w:hAnsi="Arial" w:cs="Arial"/>
                <w:sz w:val="20"/>
                <w:szCs w:val="20"/>
              </w:rPr>
            </w:pPr>
            <w:r w:rsidRPr="0058381B">
              <w:rPr>
                <w:rFonts w:ascii="Arial" w:hAnsi="Arial" w:cs="Arial"/>
                <w:sz w:val="20"/>
                <w:szCs w:val="20"/>
              </w:rPr>
              <w:t>Discharged to inpatient/home hospice</w:t>
            </w:r>
          </w:p>
        </w:tc>
        <w:tc>
          <w:tcPr>
            <w:tcW w:w="1732" w:type="dxa"/>
            <w:vAlign w:val="center"/>
          </w:tcPr>
          <w:p w14:paraId="0A873626"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3 (0.5%)</w:t>
            </w:r>
          </w:p>
        </w:tc>
        <w:tc>
          <w:tcPr>
            <w:tcW w:w="1733" w:type="dxa"/>
            <w:vAlign w:val="center"/>
          </w:tcPr>
          <w:p w14:paraId="0035047C"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2 (0.3%)</w:t>
            </w:r>
          </w:p>
        </w:tc>
        <w:tc>
          <w:tcPr>
            <w:tcW w:w="1732" w:type="dxa"/>
            <w:vAlign w:val="center"/>
          </w:tcPr>
          <w:p w14:paraId="0CF9B0C3"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(2/2)</w:t>
            </w:r>
          </w:p>
        </w:tc>
        <w:tc>
          <w:tcPr>
            <w:tcW w:w="1733" w:type="dxa"/>
            <w:vAlign w:val="center"/>
          </w:tcPr>
          <w:p w14:paraId="61FEE6A8"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(589/590)</w:t>
            </w:r>
          </w:p>
        </w:tc>
      </w:tr>
      <w:tr w:rsidR="001847E7" w:rsidRPr="00CF4443" w14:paraId="26CFA2FD" w14:textId="77777777" w:rsidTr="00E75BA0">
        <w:trPr>
          <w:cantSplit/>
        </w:trPr>
        <w:tc>
          <w:tcPr>
            <w:tcW w:w="3505" w:type="dxa"/>
          </w:tcPr>
          <w:p w14:paraId="5922F58A" w14:textId="77777777" w:rsidR="001847E7" w:rsidRPr="0058381B" w:rsidRDefault="001847E7" w:rsidP="00E75BA0">
            <w:pPr>
              <w:spacing w:line="269" w:lineRule="auto"/>
              <w:rPr>
                <w:rFonts w:ascii="Arial" w:hAnsi="Arial" w:cs="Arial"/>
                <w:sz w:val="20"/>
                <w:szCs w:val="20"/>
              </w:rPr>
            </w:pPr>
            <w:r w:rsidRPr="0058381B">
              <w:rPr>
                <w:rFonts w:ascii="Arial" w:hAnsi="Arial" w:cs="Arial"/>
                <w:sz w:val="20"/>
                <w:szCs w:val="20"/>
              </w:rPr>
              <w:t>Transferred to ICU during hospitalization</w:t>
            </w:r>
          </w:p>
        </w:tc>
        <w:tc>
          <w:tcPr>
            <w:tcW w:w="1732" w:type="dxa"/>
            <w:vAlign w:val="center"/>
          </w:tcPr>
          <w:p w14:paraId="2D3296FC"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 (1.5%)</w:t>
            </w:r>
          </w:p>
        </w:tc>
        <w:tc>
          <w:tcPr>
            <w:tcW w:w="1733" w:type="dxa"/>
            <w:vAlign w:val="center"/>
          </w:tcPr>
          <w:p w14:paraId="08D711F3"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 (1.5%)</w:t>
            </w:r>
          </w:p>
        </w:tc>
        <w:tc>
          <w:tcPr>
            <w:tcW w:w="1732" w:type="dxa"/>
            <w:vAlign w:val="center"/>
          </w:tcPr>
          <w:p w14:paraId="3DD846EF"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88.9% (8/9)</w:t>
            </w:r>
          </w:p>
        </w:tc>
        <w:tc>
          <w:tcPr>
            <w:tcW w:w="1733" w:type="dxa"/>
            <w:vAlign w:val="center"/>
          </w:tcPr>
          <w:p w14:paraId="2D260662"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(582/583)</w:t>
            </w:r>
          </w:p>
        </w:tc>
      </w:tr>
      <w:tr w:rsidR="001847E7" w:rsidRPr="00CF4443" w14:paraId="53BBD81D" w14:textId="77777777" w:rsidTr="00E75BA0">
        <w:trPr>
          <w:cantSplit/>
        </w:trPr>
        <w:tc>
          <w:tcPr>
            <w:tcW w:w="3505" w:type="dxa"/>
          </w:tcPr>
          <w:p w14:paraId="06AC7F08" w14:textId="77777777" w:rsidR="001847E7" w:rsidRPr="0058381B" w:rsidRDefault="001847E7" w:rsidP="00E75BA0">
            <w:pPr>
              <w:spacing w:line="269" w:lineRule="auto"/>
              <w:rPr>
                <w:rFonts w:ascii="Arial" w:hAnsi="Arial" w:cs="Arial"/>
                <w:sz w:val="20"/>
                <w:szCs w:val="20"/>
              </w:rPr>
            </w:pPr>
            <w:r w:rsidRPr="0058381B">
              <w:rPr>
                <w:rFonts w:ascii="Arial" w:hAnsi="Arial" w:cs="Arial"/>
                <w:sz w:val="20"/>
                <w:szCs w:val="20"/>
              </w:rPr>
              <w:t>Bacteremic with non-skin commensal</w:t>
            </w:r>
          </w:p>
        </w:tc>
        <w:tc>
          <w:tcPr>
            <w:tcW w:w="1732" w:type="dxa"/>
            <w:vAlign w:val="center"/>
          </w:tcPr>
          <w:p w14:paraId="22921573"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11 (1.9%)</w:t>
            </w:r>
          </w:p>
        </w:tc>
        <w:tc>
          <w:tcPr>
            <w:tcW w:w="1733" w:type="dxa"/>
            <w:vAlign w:val="center"/>
          </w:tcPr>
          <w:p w14:paraId="594D9173"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8 (1.4%)</w:t>
            </w:r>
          </w:p>
        </w:tc>
        <w:tc>
          <w:tcPr>
            <w:tcW w:w="1732" w:type="dxa"/>
            <w:vAlign w:val="center"/>
          </w:tcPr>
          <w:p w14:paraId="0FD1DD38"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88% (7/8)</w:t>
            </w:r>
          </w:p>
        </w:tc>
        <w:tc>
          <w:tcPr>
            <w:tcW w:w="1733" w:type="dxa"/>
            <w:vAlign w:val="center"/>
          </w:tcPr>
          <w:p w14:paraId="01206B2A"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(580/584)</w:t>
            </w:r>
          </w:p>
        </w:tc>
      </w:tr>
      <w:tr w:rsidR="001847E7" w:rsidRPr="00CF4443" w14:paraId="670CDB7A" w14:textId="77777777" w:rsidTr="00E75BA0">
        <w:trPr>
          <w:cantSplit/>
        </w:trPr>
        <w:tc>
          <w:tcPr>
            <w:tcW w:w="3505" w:type="dxa"/>
          </w:tcPr>
          <w:p w14:paraId="685EB0AB" w14:textId="16585E49" w:rsidR="001847E7" w:rsidRPr="0058381B" w:rsidRDefault="001847E7" w:rsidP="00E75BA0">
            <w:pPr>
              <w:spacing w:line="269" w:lineRule="auto"/>
              <w:rPr>
                <w:rFonts w:ascii="Arial" w:hAnsi="Arial" w:cs="Arial"/>
                <w:sz w:val="20"/>
                <w:szCs w:val="20"/>
              </w:rPr>
            </w:pPr>
            <w:r w:rsidRPr="0058381B">
              <w:rPr>
                <w:rFonts w:ascii="Arial" w:hAnsi="Arial" w:cs="Arial"/>
                <w:i/>
                <w:iCs/>
                <w:sz w:val="20"/>
                <w:szCs w:val="20"/>
              </w:rPr>
              <w:t>Staph</w:t>
            </w:r>
            <w:r w:rsidR="003C230E">
              <w:rPr>
                <w:rFonts w:ascii="Arial" w:hAnsi="Arial" w:cs="Arial"/>
                <w:i/>
                <w:iCs/>
                <w:sz w:val="20"/>
                <w:szCs w:val="20"/>
              </w:rPr>
              <w:t>ylococcus</w:t>
            </w:r>
            <w:r w:rsidRPr="0058381B">
              <w:rPr>
                <w:rFonts w:ascii="Arial" w:hAnsi="Arial" w:cs="Arial"/>
                <w:i/>
                <w:iCs/>
                <w:sz w:val="20"/>
                <w:szCs w:val="20"/>
              </w:rPr>
              <w:t xml:space="preserve"> Aureus</w:t>
            </w:r>
            <w:r w:rsidRPr="0058381B">
              <w:rPr>
                <w:rFonts w:ascii="Arial" w:hAnsi="Arial" w:cs="Arial"/>
                <w:sz w:val="20"/>
                <w:szCs w:val="20"/>
              </w:rPr>
              <w:t xml:space="preserve"> in respiratory culture</w:t>
            </w:r>
          </w:p>
        </w:tc>
        <w:tc>
          <w:tcPr>
            <w:tcW w:w="1732" w:type="dxa"/>
            <w:vAlign w:val="center"/>
          </w:tcPr>
          <w:p w14:paraId="13AC7727"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18 (3.0%)</w:t>
            </w:r>
          </w:p>
        </w:tc>
        <w:tc>
          <w:tcPr>
            <w:tcW w:w="1733" w:type="dxa"/>
            <w:vAlign w:val="center"/>
          </w:tcPr>
          <w:p w14:paraId="5A63BD47"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17 (2.9%)</w:t>
            </w:r>
          </w:p>
        </w:tc>
        <w:tc>
          <w:tcPr>
            <w:tcW w:w="1732" w:type="dxa"/>
            <w:vAlign w:val="center"/>
          </w:tcPr>
          <w:p w14:paraId="3F6129C8"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(17/17)</w:t>
            </w:r>
          </w:p>
        </w:tc>
        <w:tc>
          <w:tcPr>
            <w:tcW w:w="1733" w:type="dxa"/>
            <w:vAlign w:val="center"/>
          </w:tcPr>
          <w:p w14:paraId="0D8CA118"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(574/575)</w:t>
            </w:r>
          </w:p>
        </w:tc>
      </w:tr>
      <w:tr w:rsidR="001847E7" w:rsidRPr="00CF4443" w14:paraId="5198C405" w14:textId="77777777" w:rsidTr="00E75BA0">
        <w:trPr>
          <w:cantSplit/>
        </w:trPr>
        <w:tc>
          <w:tcPr>
            <w:tcW w:w="3505" w:type="dxa"/>
          </w:tcPr>
          <w:p w14:paraId="734CB547" w14:textId="701A2123" w:rsidR="001847E7" w:rsidRPr="0058381B" w:rsidRDefault="00980FBB" w:rsidP="00E75BA0">
            <w:pPr>
              <w:pStyle w:val="ListParagraph"/>
              <w:spacing w:line="269" w:lineRule="auto"/>
              <w:ind w:left="0"/>
              <w:rPr>
                <w:rFonts w:ascii="Arial" w:hAnsi="Arial" w:cs="Arial"/>
                <w:sz w:val="20"/>
                <w:szCs w:val="20"/>
              </w:rPr>
            </w:pPr>
            <w:r w:rsidRPr="00980FBB">
              <w:rPr>
                <w:rFonts w:ascii="Arial" w:hAnsi="Arial" w:cs="Arial"/>
                <w:sz w:val="20"/>
                <w:szCs w:val="20"/>
              </w:rPr>
              <w:t>p</w:t>
            </w:r>
            <w:r w:rsidR="001847E7" w:rsidRPr="00980FBB">
              <w:rPr>
                <w:rFonts w:ascii="Arial" w:hAnsi="Arial" w:cs="Arial"/>
                <w:sz w:val="20"/>
                <w:szCs w:val="20"/>
              </w:rPr>
              <w:t>seudomonas</w:t>
            </w:r>
            <w:r w:rsidR="001847E7" w:rsidRPr="0058381B">
              <w:rPr>
                <w:rFonts w:ascii="Arial" w:hAnsi="Arial" w:cs="Arial"/>
                <w:sz w:val="20"/>
                <w:szCs w:val="20"/>
              </w:rPr>
              <w:t xml:space="preserve"> in respiratory culture</w:t>
            </w:r>
          </w:p>
        </w:tc>
        <w:tc>
          <w:tcPr>
            <w:tcW w:w="1732" w:type="dxa"/>
            <w:vAlign w:val="center"/>
          </w:tcPr>
          <w:p w14:paraId="60D35C74"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14 (2.4%)</w:t>
            </w:r>
          </w:p>
        </w:tc>
        <w:tc>
          <w:tcPr>
            <w:tcW w:w="1733" w:type="dxa"/>
            <w:vAlign w:val="center"/>
          </w:tcPr>
          <w:p w14:paraId="278EAB21"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13 (2.2%)</w:t>
            </w:r>
          </w:p>
        </w:tc>
        <w:tc>
          <w:tcPr>
            <w:tcW w:w="1732" w:type="dxa"/>
            <w:vAlign w:val="center"/>
          </w:tcPr>
          <w:p w14:paraId="2747D46D"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(13/13)</w:t>
            </w:r>
          </w:p>
        </w:tc>
        <w:tc>
          <w:tcPr>
            <w:tcW w:w="1733" w:type="dxa"/>
            <w:vAlign w:val="center"/>
          </w:tcPr>
          <w:p w14:paraId="09AD1F5C"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(578/579)</w:t>
            </w:r>
          </w:p>
        </w:tc>
      </w:tr>
      <w:tr w:rsidR="001847E7" w:rsidRPr="00CF4443" w14:paraId="2BA1ADF2" w14:textId="77777777" w:rsidTr="00E75BA0">
        <w:trPr>
          <w:cantSplit/>
        </w:trPr>
        <w:tc>
          <w:tcPr>
            <w:tcW w:w="3505" w:type="dxa"/>
          </w:tcPr>
          <w:p w14:paraId="6CA4C51C" w14:textId="77777777" w:rsidR="001847E7" w:rsidRPr="0058381B" w:rsidRDefault="001847E7" w:rsidP="00E75BA0">
            <w:pPr>
              <w:pStyle w:val="ListParagraph"/>
              <w:spacing w:line="269" w:lineRule="auto"/>
              <w:ind w:left="0"/>
              <w:rPr>
                <w:rFonts w:ascii="Arial" w:hAnsi="Arial" w:cs="Arial"/>
                <w:sz w:val="20"/>
                <w:szCs w:val="20"/>
              </w:rPr>
            </w:pPr>
            <w:r w:rsidRPr="0058381B">
              <w:rPr>
                <w:rFonts w:ascii="Arial" w:hAnsi="Arial" w:cs="Arial"/>
                <w:sz w:val="20"/>
                <w:szCs w:val="20"/>
              </w:rPr>
              <w:t>Legionella pneumonia</w:t>
            </w:r>
          </w:p>
        </w:tc>
        <w:tc>
          <w:tcPr>
            <w:tcW w:w="1732" w:type="dxa"/>
            <w:vAlign w:val="center"/>
          </w:tcPr>
          <w:p w14:paraId="082AC673"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4 (0.7%)</w:t>
            </w:r>
          </w:p>
        </w:tc>
        <w:tc>
          <w:tcPr>
            <w:tcW w:w="1733" w:type="dxa"/>
            <w:vAlign w:val="center"/>
          </w:tcPr>
          <w:p w14:paraId="6C0BE63E"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4 (0.7%)</w:t>
            </w:r>
          </w:p>
        </w:tc>
        <w:tc>
          <w:tcPr>
            <w:tcW w:w="1732" w:type="dxa"/>
            <w:vAlign w:val="center"/>
          </w:tcPr>
          <w:p w14:paraId="1F8CC8C5"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(4/4)</w:t>
            </w:r>
          </w:p>
        </w:tc>
        <w:tc>
          <w:tcPr>
            <w:tcW w:w="1733" w:type="dxa"/>
            <w:vAlign w:val="center"/>
          </w:tcPr>
          <w:p w14:paraId="76FEE4EF"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(588/588)</w:t>
            </w:r>
          </w:p>
        </w:tc>
      </w:tr>
      <w:tr w:rsidR="001847E7" w:rsidRPr="00CF4443" w14:paraId="51A5B86B" w14:textId="77777777" w:rsidTr="00E75BA0">
        <w:trPr>
          <w:cantSplit/>
        </w:trPr>
        <w:tc>
          <w:tcPr>
            <w:tcW w:w="3505" w:type="dxa"/>
          </w:tcPr>
          <w:p w14:paraId="749ADFF9" w14:textId="77777777" w:rsidR="001847E7" w:rsidRPr="0058381B" w:rsidRDefault="001847E7" w:rsidP="00E75BA0">
            <w:pPr>
              <w:pStyle w:val="ListParagraph"/>
              <w:spacing w:line="269" w:lineRule="auto"/>
              <w:ind w:left="0"/>
              <w:rPr>
                <w:rFonts w:ascii="Arial" w:hAnsi="Arial" w:cs="Arial"/>
                <w:sz w:val="20"/>
                <w:szCs w:val="20"/>
              </w:rPr>
            </w:pPr>
            <w:r w:rsidRPr="0058381B">
              <w:rPr>
                <w:rFonts w:ascii="Arial" w:hAnsi="Arial" w:cs="Arial"/>
                <w:sz w:val="20"/>
                <w:szCs w:val="20"/>
              </w:rPr>
              <w:t>Time to clinical stability &gt;5 days</w:t>
            </w:r>
            <w:r w:rsidRPr="0058381B">
              <w:rPr>
                <w:rFonts w:ascii="Arial" w:hAnsi="Arial" w:cs="Arial"/>
                <w:sz w:val="20"/>
                <w:szCs w:val="20"/>
                <w:vertAlign w:val="superscript"/>
              </w:rPr>
              <w:t>1</w:t>
            </w:r>
          </w:p>
        </w:tc>
        <w:tc>
          <w:tcPr>
            <w:tcW w:w="1732" w:type="dxa"/>
            <w:vAlign w:val="center"/>
          </w:tcPr>
          <w:p w14:paraId="748F4319"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37 (6.3%)</w:t>
            </w:r>
          </w:p>
        </w:tc>
        <w:tc>
          <w:tcPr>
            <w:tcW w:w="1733" w:type="dxa"/>
            <w:vAlign w:val="center"/>
          </w:tcPr>
          <w:p w14:paraId="370E08CC"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93 (15.7%)</w:t>
            </w:r>
          </w:p>
        </w:tc>
        <w:tc>
          <w:tcPr>
            <w:tcW w:w="1732" w:type="dxa"/>
            <w:vAlign w:val="center"/>
          </w:tcPr>
          <w:p w14:paraId="3074578C"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29% (27/93)</w:t>
            </w:r>
          </w:p>
        </w:tc>
        <w:tc>
          <w:tcPr>
            <w:tcW w:w="1733" w:type="dxa"/>
            <w:vAlign w:val="center"/>
          </w:tcPr>
          <w:p w14:paraId="7A4F5CBD"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98% (489/499)</w:t>
            </w:r>
          </w:p>
        </w:tc>
      </w:tr>
      <w:tr w:rsidR="001847E7" w:rsidRPr="00CF4443" w14:paraId="729B5B57" w14:textId="77777777" w:rsidTr="00E75BA0">
        <w:trPr>
          <w:cantSplit/>
        </w:trPr>
        <w:tc>
          <w:tcPr>
            <w:tcW w:w="3505" w:type="dxa"/>
          </w:tcPr>
          <w:p w14:paraId="5DA0C127" w14:textId="77777777" w:rsidR="001847E7" w:rsidRPr="0058381B" w:rsidRDefault="001847E7" w:rsidP="00E75BA0">
            <w:pPr>
              <w:pStyle w:val="ListParagraph"/>
              <w:spacing w:line="269" w:lineRule="auto"/>
              <w:ind w:left="0"/>
              <w:rPr>
                <w:rFonts w:ascii="Arial" w:hAnsi="Arial" w:cs="Arial"/>
                <w:sz w:val="20"/>
                <w:szCs w:val="20"/>
              </w:rPr>
            </w:pPr>
            <w:r w:rsidRPr="0058381B">
              <w:rPr>
                <w:rFonts w:ascii="Arial" w:hAnsi="Arial" w:cs="Arial"/>
                <w:sz w:val="20"/>
                <w:szCs w:val="20"/>
              </w:rPr>
              <w:t>Received &lt;3 days of antibiotics</w:t>
            </w:r>
          </w:p>
        </w:tc>
        <w:tc>
          <w:tcPr>
            <w:tcW w:w="1732" w:type="dxa"/>
            <w:vAlign w:val="center"/>
          </w:tcPr>
          <w:p w14:paraId="7B1EDEAA"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35 (5.9%)</w:t>
            </w:r>
          </w:p>
        </w:tc>
        <w:tc>
          <w:tcPr>
            <w:tcW w:w="1733" w:type="dxa"/>
            <w:vAlign w:val="center"/>
          </w:tcPr>
          <w:p w14:paraId="6A51165E"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31 (5.2%)</w:t>
            </w:r>
          </w:p>
        </w:tc>
        <w:tc>
          <w:tcPr>
            <w:tcW w:w="1732" w:type="dxa"/>
            <w:vAlign w:val="center"/>
          </w:tcPr>
          <w:p w14:paraId="43D402AB"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100% (31/31)</w:t>
            </w:r>
          </w:p>
        </w:tc>
        <w:tc>
          <w:tcPr>
            <w:tcW w:w="1733" w:type="dxa"/>
            <w:vAlign w:val="center"/>
          </w:tcPr>
          <w:p w14:paraId="377730E4"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(557/561)</w:t>
            </w:r>
          </w:p>
        </w:tc>
      </w:tr>
      <w:tr w:rsidR="001847E7" w:rsidRPr="00CF4443" w14:paraId="0B3DA8BE" w14:textId="77777777" w:rsidTr="00E75BA0">
        <w:trPr>
          <w:cantSplit/>
        </w:trPr>
        <w:tc>
          <w:tcPr>
            <w:tcW w:w="3505" w:type="dxa"/>
          </w:tcPr>
          <w:p w14:paraId="4D0C0181" w14:textId="77777777" w:rsidR="001847E7" w:rsidRPr="0058381B" w:rsidRDefault="001847E7" w:rsidP="00E75BA0">
            <w:pPr>
              <w:pStyle w:val="ListParagraph"/>
              <w:spacing w:line="269" w:lineRule="auto"/>
              <w:ind w:left="0"/>
              <w:rPr>
                <w:rFonts w:ascii="Arial" w:hAnsi="Arial" w:cs="Arial"/>
                <w:sz w:val="20"/>
                <w:szCs w:val="20"/>
              </w:rPr>
            </w:pPr>
            <w:r w:rsidRPr="0058381B">
              <w:rPr>
                <w:rFonts w:ascii="Arial" w:hAnsi="Arial" w:cs="Arial"/>
                <w:sz w:val="20"/>
                <w:szCs w:val="20"/>
              </w:rPr>
              <w:t>&gt;14-day total antibiotic duration</w:t>
            </w:r>
          </w:p>
        </w:tc>
        <w:tc>
          <w:tcPr>
            <w:tcW w:w="1732" w:type="dxa"/>
            <w:vAlign w:val="center"/>
          </w:tcPr>
          <w:p w14:paraId="60A29717"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25 (4.2%)</w:t>
            </w:r>
          </w:p>
        </w:tc>
        <w:tc>
          <w:tcPr>
            <w:tcW w:w="1733" w:type="dxa"/>
            <w:vAlign w:val="center"/>
          </w:tcPr>
          <w:p w14:paraId="588B3667"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24 (4.1%)</w:t>
            </w:r>
          </w:p>
        </w:tc>
        <w:tc>
          <w:tcPr>
            <w:tcW w:w="1732" w:type="dxa"/>
            <w:vAlign w:val="center"/>
          </w:tcPr>
          <w:p w14:paraId="6FB30095"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88% (21/24)</w:t>
            </w:r>
          </w:p>
        </w:tc>
        <w:tc>
          <w:tcPr>
            <w:tcW w:w="1733" w:type="dxa"/>
            <w:vAlign w:val="center"/>
          </w:tcPr>
          <w:p w14:paraId="412A34F0" w14:textId="77777777" w:rsidR="001847E7" w:rsidRPr="0058381B" w:rsidRDefault="001847E7" w:rsidP="00E75BA0">
            <w:pPr>
              <w:pStyle w:val="ListParagraph"/>
              <w:spacing w:line="269" w:lineRule="auto"/>
              <w:ind w:left="0"/>
              <w:jc w:val="center"/>
              <w:rPr>
                <w:rFonts w:ascii="Arial" w:hAnsi="Arial" w:cs="Arial"/>
                <w:sz w:val="20"/>
                <w:szCs w:val="20"/>
              </w:rPr>
            </w:pPr>
            <w:r w:rsidRPr="0058381B">
              <w:rPr>
                <w:rFonts w:ascii="Arial" w:hAnsi="Arial" w:cs="Arial"/>
                <w:sz w:val="20"/>
                <w:szCs w:val="20"/>
              </w:rPr>
              <w:t>99% (564/568)</w:t>
            </w:r>
          </w:p>
        </w:tc>
      </w:tr>
    </w:tbl>
    <w:p w14:paraId="577F346C" w14:textId="77777777" w:rsidR="001847E7" w:rsidRDefault="001847E7" w:rsidP="001847E7">
      <w:pPr>
        <w:spacing w:line="240" w:lineRule="auto"/>
        <w:rPr>
          <w:rFonts w:ascii="Aptos" w:hAnsi="Aptos"/>
          <w:sz w:val="20"/>
          <w:szCs w:val="20"/>
        </w:rPr>
      </w:pPr>
      <w:r w:rsidRPr="008E209D">
        <w:rPr>
          <w:rFonts w:ascii="Aptos" w:hAnsi="Aptos"/>
          <w:sz w:val="20"/>
          <w:szCs w:val="20"/>
        </w:rPr>
        <w:t>*</w:t>
      </w:r>
      <w:proofErr w:type="gramStart"/>
      <w:r w:rsidRPr="008E209D">
        <w:rPr>
          <w:rFonts w:ascii="Aptos" w:hAnsi="Aptos"/>
          <w:sz w:val="20"/>
          <w:szCs w:val="20"/>
        </w:rPr>
        <w:t>cell</w:t>
      </w:r>
      <w:proofErr w:type="gramEnd"/>
      <w:r w:rsidRPr="008E209D">
        <w:rPr>
          <w:rFonts w:ascii="Aptos" w:hAnsi="Aptos"/>
          <w:sz w:val="20"/>
          <w:szCs w:val="20"/>
        </w:rPr>
        <w:t xml:space="preserve"> intentionally left empty</w:t>
      </w:r>
    </w:p>
    <w:p w14:paraId="4F2C4EFA" w14:textId="6044677D" w:rsidR="008E209D" w:rsidRDefault="003C230E" w:rsidP="001847E7">
      <w:pPr>
        <w:spacing w:line="240" w:lineRule="auto"/>
        <w:rPr>
          <w:rFonts w:ascii="Aptos" w:hAnsi="Aptos"/>
          <w:sz w:val="20"/>
          <w:szCs w:val="20"/>
        </w:rPr>
      </w:pPr>
      <w:r>
        <w:rPr>
          <w:rFonts w:ascii="Aptos" w:hAnsi="Aptos"/>
          <w:sz w:val="20"/>
          <w:szCs w:val="20"/>
        </w:rPr>
        <w:t>Abbreviations: UM, University of Michigan; eCQM, electronic clinical quality measure, HMS, Michigan Hospital Medicine Safety Consortium; ICU, intensive care unit</w:t>
      </w:r>
    </w:p>
    <w:p w14:paraId="15507EB5" w14:textId="77777777" w:rsidR="003C230E" w:rsidRPr="008E209D" w:rsidRDefault="003C230E" w:rsidP="001847E7">
      <w:pPr>
        <w:spacing w:line="240" w:lineRule="auto"/>
        <w:rPr>
          <w:rFonts w:ascii="Aptos" w:hAnsi="Aptos"/>
          <w:sz w:val="20"/>
          <w:szCs w:val="20"/>
        </w:rPr>
      </w:pPr>
    </w:p>
    <w:p w14:paraId="2FB0DB7C" w14:textId="48341D6D" w:rsidR="001847E7" w:rsidRPr="008E209D" w:rsidRDefault="001847E7" w:rsidP="008E209D">
      <w:pPr>
        <w:spacing w:line="240" w:lineRule="auto"/>
        <w:rPr>
          <w:rFonts w:ascii="Arial" w:hAnsi="Arial" w:cs="Arial"/>
          <w:sz w:val="20"/>
          <w:szCs w:val="20"/>
        </w:rPr>
      </w:pPr>
      <w:r w:rsidRPr="008E209D">
        <w:rPr>
          <w:rFonts w:ascii="Aptos" w:hAnsi="Aptos"/>
          <w:sz w:val="20"/>
          <w:szCs w:val="20"/>
          <w:vertAlign w:val="superscript"/>
        </w:rPr>
        <w:t>1</w:t>
      </w:r>
      <w:r w:rsidRPr="008E209D">
        <w:rPr>
          <w:rFonts w:ascii="Aptos" w:hAnsi="Aptos"/>
          <w:sz w:val="20"/>
          <w:szCs w:val="20"/>
        </w:rPr>
        <w:t xml:space="preserve">Here, we compare the </w:t>
      </w:r>
      <w:proofErr w:type="spellStart"/>
      <w:r w:rsidRPr="008E209D">
        <w:rPr>
          <w:rFonts w:ascii="Aptos" w:hAnsi="Aptos"/>
          <w:sz w:val="20"/>
          <w:szCs w:val="20"/>
        </w:rPr>
        <w:t>eCQM’s</w:t>
      </w:r>
      <w:proofErr w:type="spellEnd"/>
      <w:r w:rsidRPr="008E209D">
        <w:rPr>
          <w:rFonts w:ascii="Aptos" w:hAnsi="Aptos"/>
          <w:sz w:val="20"/>
          <w:szCs w:val="20"/>
        </w:rPr>
        <w:t xml:space="preserve"> simplified definition of clinical stability (afebrile and SBP ≥90 mmHg or discharged) to the original definition of stability (no more than 1 sign of clinical stability). Though the sensitivity is much lower, the feasibility of this specification was much higher across all three systems</w:t>
      </w:r>
      <w:r w:rsidR="008E209D" w:rsidRPr="008E209D">
        <w:rPr>
          <w:rFonts w:ascii="Aptos" w:hAnsi="Aptos"/>
          <w:sz w:val="20"/>
          <w:szCs w:val="20"/>
        </w:rPr>
        <w:t xml:space="preserve">. To assess whether the low sensitivity would impact the measures’ validity, we assessed how the two definitions would impact the University of Michigan’s measure performance. Using the original, expanded vital sign criteria would result in more patients being excluded and 53.7% (1734/3227) of patients being quantified as having excess duration. Using the modified (and easier) definition would result in 54.5% (1861/3417) of patients being classified as having an excess duration. Given that the two definitions produced comparable results and did not change </w:t>
      </w:r>
      <w:proofErr w:type="gramStart"/>
      <w:r w:rsidR="008E209D" w:rsidRPr="008E209D">
        <w:rPr>
          <w:rFonts w:ascii="Aptos" w:hAnsi="Aptos"/>
          <w:sz w:val="20"/>
          <w:szCs w:val="20"/>
        </w:rPr>
        <w:t>University</w:t>
      </w:r>
      <w:proofErr w:type="gramEnd"/>
      <w:r w:rsidR="008E209D" w:rsidRPr="008E209D">
        <w:rPr>
          <w:rFonts w:ascii="Aptos" w:hAnsi="Aptos"/>
          <w:sz w:val="20"/>
          <w:szCs w:val="20"/>
        </w:rPr>
        <w:t xml:space="preserve"> of Michigan’s decile of performance, we suggest (and report here) the more feasible, modified stability criteria.</w:t>
      </w:r>
    </w:p>
    <w:p w14:paraId="6296754E" w14:textId="77777777" w:rsidR="008E209D" w:rsidRDefault="008E209D">
      <w:pPr>
        <w:rPr>
          <w:b/>
          <w:bCs/>
          <w:sz w:val="20"/>
          <w:szCs w:val="20"/>
        </w:rPr>
      </w:pPr>
    </w:p>
    <w:p w14:paraId="3D3AF30E" w14:textId="77777777" w:rsidR="008D3B16" w:rsidRPr="008644C9" w:rsidRDefault="008D3B16" w:rsidP="008D3B16">
      <w:pPr>
        <w:rPr>
          <w:rFonts w:cs="Arial"/>
          <w:b/>
          <w:bCs/>
          <w:sz w:val="22"/>
          <w:szCs w:val="22"/>
        </w:rPr>
      </w:pPr>
    </w:p>
    <w:p w14:paraId="5F7DB1EC" w14:textId="525AF8D9" w:rsidR="008D3B16" w:rsidRPr="008644C9" w:rsidRDefault="008D3B16" w:rsidP="008D3B16">
      <w:pPr>
        <w:rPr>
          <w:rFonts w:cs="Arial"/>
          <w:sz w:val="22"/>
          <w:szCs w:val="22"/>
        </w:rPr>
      </w:pPr>
      <w:bookmarkStart w:id="7" w:name="_Hlk181282227"/>
      <w:r w:rsidRPr="00C84723">
        <w:rPr>
          <w:rFonts w:cs="Arial"/>
          <w:b/>
          <w:bCs/>
          <w:sz w:val="22"/>
          <w:szCs w:val="22"/>
        </w:rPr>
        <w:t>Table 4.</w:t>
      </w:r>
      <w:r w:rsidRPr="00C84723">
        <w:rPr>
          <w:rFonts w:cs="Arial"/>
          <w:sz w:val="22"/>
          <w:szCs w:val="22"/>
        </w:rPr>
        <w:t xml:space="preserve"> Sensitivity and Specificity of the </w:t>
      </w:r>
      <w:r w:rsidR="00980FBB" w:rsidRPr="00C84723">
        <w:rPr>
          <w:rFonts w:cs="Arial"/>
          <w:sz w:val="22"/>
          <w:szCs w:val="22"/>
        </w:rPr>
        <w:t>overall metric-</w:t>
      </w:r>
      <w:r w:rsidRPr="00C84723">
        <w:rPr>
          <w:rFonts w:cs="Arial"/>
          <w:sz w:val="22"/>
          <w:szCs w:val="22"/>
        </w:rPr>
        <w:t>eCQM in assessing excess antibiotic duration</w:t>
      </w:r>
      <w:r w:rsidRPr="008644C9">
        <w:rPr>
          <w:rFonts w:cs="Arial"/>
          <w:sz w:val="22"/>
          <w:szCs w:val="22"/>
        </w:rPr>
        <w:t xml:space="preserve"> </w:t>
      </w:r>
    </w:p>
    <w:tbl>
      <w:tblPr>
        <w:tblStyle w:val="TableGrid"/>
        <w:tblW w:w="0" w:type="auto"/>
        <w:tblLook w:val="04A0" w:firstRow="1" w:lastRow="0" w:firstColumn="1" w:lastColumn="0" w:noHBand="0" w:noVBand="1"/>
        <w:tblCaption w:val="Table 16. Sensitivity and specificity of the eCQM in assessing excess antibiotic duration"/>
        <w:tblDescription w:val="In 450 hospitalized uncomplicated CAP patients, the percentage of excess antibiotic duration (i.e., &gt;= 7-day total antibiotic duraiton) of those eligible for a 5-day duration was compared using chart review (UM HMS, gold standard) and eCQM to determine sensitivity and specificity for the eCQM. Sensitivity was 96%, and specificity was 93%."/>
      </w:tblPr>
      <w:tblGrid>
        <w:gridCol w:w="2243"/>
        <w:gridCol w:w="1683"/>
        <w:gridCol w:w="1654"/>
        <w:gridCol w:w="2595"/>
        <w:gridCol w:w="2615"/>
      </w:tblGrid>
      <w:tr w:rsidR="008D3B16" w:rsidRPr="008644C9" w14:paraId="3D9ADC87" w14:textId="77777777" w:rsidTr="00F91A25">
        <w:trPr>
          <w:cantSplit/>
          <w:trHeight w:val="854"/>
          <w:tblHeader/>
        </w:trPr>
        <w:tc>
          <w:tcPr>
            <w:tcW w:w="0" w:type="auto"/>
            <w:vAlign w:val="center"/>
          </w:tcPr>
          <w:bookmarkEnd w:id="7"/>
          <w:p w14:paraId="741FA6BD" w14:textId="77777777" w:rsidR="008D3B16" w:rsidRPr="008644C9" w:rsidRDefault="008D3B16" w:rsidP="006838FB">
            <w:pPr>
              <w:pStyle w:val="ListParagraph"/>
              <w:ind w:left="0"/>
              <w:rPr>
                <w:b/>
                <w:bCs/>
              </w:rPr>
            </w:pPr>
            <w:r w:rsidRPr="008644C9">
              <w:rPr>
                <w:b/>
                <w:bCs/>
              </w:rPr>
              <w:t>n=450 patients</w:t>
            </w:r>
          </w:p>
        </w:tc>
        <w:tc>
          <w:tcPr>
            <w:tcW w:w="0" w:type="auto"/>
            <w:vAlign w:val="center"/>
          </w:tcPr>
          <w:p w14:paraId="7D4C9219" w14:textId="77777777" w:rsidR="008D3B16" w:rsidRPr="008644C9" w:rsidRDefault="008D3B16" w:rsidP="006838FB">
            <w:pPr>
              <w:pStyle w:val="ListParagraph"/>
              <w:ind w:left="0"/>
              <w:jc w:val="center"/>
              <w:rPr>
                <w:rFonts w:cs="Arial"/>
              </w:rPr>
            </w:pPr>
            <w:r w:rsidRPr="008644C9">
              <w:rPr>
                <w:rFonts w:cs="Arial"/>
              </w:rPr>
              <w:t xml:space="preserve">UM eCQM (electronic) </w:t>
            </w:r>
          </w:p>
          <w:p w14:paraId="7D8DC995" w14:textId="77777777" w:rsidR="008D3B16" w:rsidRPr="008644C9" w:rsidRDefault="008D3B16" w:rsidP="006838FB">
            <w:pPr>
              <w:pStyle w:val="ListParagraph"/>
              <w:ind w:left="0"/>
              <w:jc w:val="center"/>
            </w:pPr>
            <w:r w:rsidRPr="008644C9">
              <w:rPr>
                <w:rFonts w:cs="Arial"/>
              </w:rPr>
              <w:t>n (%)</w:t>
            </w:r>
          </w:p>
        </w:tc>
        <w:tc>
          <w:tcPr>
            <w:tcW w:w="0" w:type="auto"/>
            <w:vAlign w:val="center"/>
          </w:tcPr>
          <w:p w14:paraId="437B46C0" w14:textId="77777777" w:rsidR="008D3B16" w:rsidRPr="008644C9" w:rsidRDefault="008D3B16" w:rsidP="006838FB">
            <w:pPr>
              <w:pStyle w:val="ListParagraph"/>
              <w:ind w:left="0"/>
              <w:jc w:val="center"/>
              <w:rPr>
                <w:rFonts w:cs="Arial"/>
              </w:rPr>
            </w:pPr>
            <w:r w:rsidRPr="008644C9">
              <w:rPr>
                <w:rFonts w:cs="Arial"/>
              </w:rPr>
              <w:t xml:space="preserve">UM HMS data (chart review) </w:t>
            </w:r>
          </w:p>
          <w:p w14:paraId="6B5603B2" w14:textId="77777777" w:rsidR="008D3B16" w:rsidRPr="008644C9" w:rsidRDefault="008D3B16" w:rsidP="006838FB">
            <w:pPr>
              <w:pStyle w:val="ListParagraph"/>
              <w:ind w:left="0"/>
              <w:jc w:val="center"/>
            </w:pPr>
            <w:r w:rsidRPr="008644C9">
              <w:rPr>
                <w:rFonts w:cs="Arial"/>
              </w:rPr>
              <w:t>n (%)</w:t>
            </w:r>
          </w:p>
        </w:tc>
        <w:tc>
          <w:tcPr>
            <w:tcW w:w="0" w:type="auto"/>
            <w:shd w:val="clear" w:color="auto" w:fill="auto"/>
            <w:vAlign w:val="center"/>
          </w:tcPr>
          <w:p w14:paraId="5DD8BC99" w14:textId="77777777" w:rsidR="008D3B16" w:rsidRPr="008644C9" w:rsidRDefault="008D3B16" w:rsidP="006838FB">
            <w:pPr>
              <w:pStyle w:val="ListParagraph"/>
              <w:ind w:left="0"/>
              <w:jc w:val="center"/>
            </w:pPr>
            <w:r w:rsidRPr="008644C9">
              <w:rPr>
                <w:rFonts w:cs="Arial"/>
              </w:rPr>
              <w:t>Sensitivity of UM eCQM (vs. UM HMS chart review)</w:t>
            </w:r>
          </w:p>
        </w:tc>
        <w:tc>
          <w:tcPr>
            <w:tcW w:w="0" w:type="auto"/>
            <w:shd w:val="clear" w:color="auto" w:fill="auto"/>
            <w:vAlign w:val="center"/>
          </w:tcPr>
          <w:p w14:paraId="5EC81A03" w14:textId="77777777" w:rsidR="008D3B16" w:rsidRPr="008644C9" w:rsidRDefault="008D3B16" w:rsidP="006838FB">
            <w:pPr>
              <w:pStyle w:val="ListParagraph"/>
              <w:ind w:left="0"/>
              <w:jc w:val="center"/>
            </w:pPr>
            <w:r w:rsidRPr="008644C9">
              <w:rPr>
                <w:rFonts w:cs="Arial"/>
              </w:rPr>
              <w:t>Specificity of UM eCQM (vs. UM HMS chart review)</w:t>
            </w:r>
          </w:p>
        </w:tc>
      </w:tr>
      <w:tr w:rsidR="008D3B16" w:rsidRPr="008644C9" w14:paraId="2DBB8A80" w14:textId="77777777" w:rsidTr="006838FB">
        <w:trPr>
          <w:cantSplit/>
        </w:trPr>
        <w:tc>
          <w:tcPr>
            <w:tcW w:w="0" w:type="auto"/>
            <w:vAlign w:val="center"/>
          </w:tcPr>
          <w:p w14:paraId="790AEF0C" w14:textId="77777777" w:rsidR="008D3B16" w:rsidRPr="008644C9" w:rsidRDefault="008D3B16" w:rsidP="006838FB">
            <w:pPr>
              <w:pStyle w:val="ListParagraph"/>
              <w:ind w:left="0"/>
            </w:pPr>
            <w:r w:rsidRPr="008644C9">
              <w:t>Received ≥7 days total antibiotic duration</w:t>
            </w:r>
          </w:p>
        </w:tc>
        <w:tc>
          <w:tcPr>
            <w:tcW w:w="0" w:type="auto"/>
            <w:vAlign w:val="center"/>
          </w:tcPr>
          <w:p w14:paraId="33818E8E" w14:textId="77777777" w:rsidR="008D3B16" w:rsidRPr="008644C9" w:rsidRDefault="008D3B16" w:rsidP="006838FB">
            <w:pPr>
              <w:pStyle w:val="ListParagraph"/>
              <w:ind w:left="0"/>
              <w:jc w:val="center"/>
            </w:pPr>
            <w:r w:rsidRPr="008644C9">
              <w:t>281 (61.4%)</w:t>
            </w:r>
          </w:p>
        </w:tc>
        <w:tc>
          <w:tcPr>
            <w:tcW w:w="0" w:type="auto"/>
            <w:vAlign w:val="center"/>
          </w:tcPr>
          <w:p w14:paraId="0C46A658" w14:textId="77777777" w:rsidR="008D3B16" w:rsidRPr="008644C9" w:rsidRDefault="008D3B16" w:rsidP="006838FB">
            <w:pPr>
              <w:pStyle w:val="ListParagraph"/>
              <w:ind w:left="0"/>
              <w:jc w:val="center"/>
            </w:pPr>
            <w:r w:rsidRPr="008644C9">
              <w:t>278 (60.7%)</w:t>
            </w:r>
          </w:p>
        </w:tc>
        <w:tc>
          <w:tcPr>
            <w:tcW w:w="0" w:type="auto"/>
            <w:vAlign w:val="center"/>
          </w:tcPr>
          <w:p w14:paraId="0D683FC2" w14:textId="77777777" w:rsidR="008D3B16" w:rsidRPr="008644C9" w:rsidRDefault="008D3B16" w:rsidP="006838FB">
            <w:pPr>
              <w:pStyle w:val="ListParagraph"/>
              <w:ind w:left="0"/>
              <w:jc w:val="center"/>
              <w:rPr>
                <w:b/>
                <w:bCs/>
              </w:rPr>
            </w:pPr>
            <w:r w:rsidRPr="008644C9">
              <w:rPr>
                <w:b/>
                <w:bCs/>
              </w:rPr>
              <w:t>96% (268/278)</w:t>
            </w:r>
          </w:p>
        </w:tc>
        <w:tc>
          <w:tcPr>
            <w:tcW w:w="0" w:type="auto"/>
            <w:vAlign w:val="center"/>
          </w:tcPr>
          <w:p w14:paraId="7362BB62" w14:textId="77777777" w:rsidR="008D3B16" w:rsidRPr="008644C9" w:rsidRDefault="008D3B16" w:rsidP="006838FB">
            <w:pPr>
              <w:pStyle w:val="ListParagraph"/>
              <w:ind w:left="0"/>
              <w:jc w:val="center"/>
              <w:rPr>
                <w:b/>
                <w:bCs/>
              </w:rPr>
            </w:pPr>
            <w:r w:rsidRPr="008644C9">
              <w:rPr>
                <w:b/>
                <w:bCs/>
              </w:rPr>
              <w:t>93% (167/180)</w:t>
            </w:r>
          </w:p>
        </w:tc>
      </w:tr>
    </w:tbl>
    <w:p w14:paraId="0EBD198F" w14:textId="2503E988" w:rsidR="008D3B16" w:rsidRPr="008644C9" w:rsidRDefault="008D3B16" w:rsidP="008D3B16">
      <w:pPr>
        <w:spacing w:before="120"/>
        <w:rPr>
          <w:rFonts w:cs="Arial"/>
          <w:sz w:val="18"/>
          <w:szCs w:val="18"/>
        </w:rPr>
      </w:pPr>
      <w:r w:rsidRPr="008644C9">
        <w:rPr>
          <w:rFonts w:cs="Arial"/>
          <w:sz w:val="18"/>
          <w:szCs w:val="18"/>
        </w:rPr>
        <w:t xml:space="preserve">Excess </w:t>
      </w:r>
      <w:bookmarkStart w:id="8" w:name="_Hlk196743550"/>
      <w:r w:rsidRPr="008644C9">
        <w:rPr>
          <w:rFonts w:cs="Arial"/>
          <w:sz w:val="18"/>
          <w:szCs w:val="18"/>
        </w:rPr>
        <w:t xml:space="preserve">antibiotic </w:t>
      </w:r>
      <w:bookmarkEnd w:id="8"/>
      <w:r w:rsidRPr="008644C9">
        <w:rPr>
          <w:rFonts w:cs="Arial"/>
          <w:sz w:val="18"/>
          <w:szCs w:val="18"/>
        </w:rPr>
        <w:t xml:space="preserve">duration is defined as receiving </w:t>
      </w:r>
      <w:r w:rsidR="00F91A25">
        <w:rPr>
          <w:rFonts w:cs="Arial"/>
          <w:sz w:val="18"/>
          <w:szCs w:val="18"/>
        </w:rPr>
        <w:t xml:space="preserve">≥ </w:t>
      </w:r>
      <w:r w:rsidRPr="008644C9">
        <w:rPr>
          <w:rFonts w:cs="Arial"/>
          <w:sz w:val="18"/>
          <w:szCs w:val="18"/>
        </w:rPr>
        <w:t>7 days total antibiotic duration in patients considered eligible for a 5-day duration according to national guidelines</w:t>
      </w:r>
    </w:p>
    <w:p w14:paraId="078A3A40" w14:textId="5D95CB5B" w:rsidR="008D3B16" w:rsidRPr="008644C9" w:rsidRDefault="00F91A25" w:rsidP="008D3B16">
      <w:pPr>
        <w:rPr>
          <w:rFonts w:eastAsia="Calibri" w:cs="Times New Roman"/>
          <w:b/>
          <w:bCs/>
          <w:highlight w:val="green"/>
        </w:rPr>
      </w:pPr>
      <w:r>
        <w:rPr>
          <w:rFonts w:ascii="Aptos" w:hAnsi="Aptos"/>
          <w:sz w:val="20"/>
          <w:szCs w:val="20"/>
        </w:rPr>
        <w:t xml:space="preserve">Abbreviations: </w:t>
      </w:r>
      <w:bookmarkStart w:id="9" w:name="_Hlk196743402"/>
      <w:r>
        <w:rPr>
          <w:rFonts w:ascii="Aptos" w:hAnsi="Aptos"/>
          <w:sz w:val="20"/>
          <w:szCs w:val="20"/>
        </w:rPr>
        <w:t xml:space="preserve">UM, University of Michigan; eCQM, electronic clinical quality measure, </w:t>
      </w:r>
      <w:bookmarkEnd w:id="9"/>
      <w:r>
        <w:rPr>
          <w:rFonts w:ascii="Aptos" w:hAnsi="Aptos"/>
          <w:sz w:val="20"/>
          <w:szCs w:val="20"/>
        </w:rPr>
        <w:t>HMS, Michigan Hospital Medicine Safety Consortium</w:t>
      </w:r>
    </w:p>
    <w:p w14:paraId="7FE1D9E0" w14:textId="77777777" w:rsidR="008D3B16" w:rsidRPr="008644C9" w:rsidRDefault="008D3B16">
      <w:pPr>
        <w:rPr>
          <w:rFonts w:cs="Arial"/>
          <w:b/>
          <w:bCs/>
          <w:sz w:val="22"/>
          <w:szCs w:val="22"/>
        </w:rPr>
      </w:pPr>
      <w:r w:rsidRPr="008644C9">
        <w:rPr>
          <w:rFonts w:cs="Arial"/>
          <w:b/>
          <w:bCs/>
          <w:sz w:val="22"/>
          <w:szCs w:val="22"/>
        </w:rPr>
        <w:br w:type="page"/>
      </w:r>
    </w:p>
    <w:p w14:paraId="198B3907" w14:textId="5CE95EAC" w:rsidR="008D3B16" w:rsidRPr="008644C9" w:rsidRDefault="008D3B16" w:rsidP="008D3B16">
      <w:pPr>
        <w:rPr>
          <w:rFonts w:ascii="Aptos" w:hAnsi="Aptos" w:cs="Arial"/>
          <w:sz w:val="22"/>
          <w:szCs w:val="22"/>
        </w:rPr>
      </w:pPr>
      <w:r w:rsidRPr="008644C9">
        <w:rPr>
          <w:rFonts w:ascii="Aptos" w:hAnsi="Aptos" w:cs="Arial"/>
          <w:b/>
          <w:bCs/>
          <w:sz w:val="22"/>
          <w:szCs w:val="22"/>
        </w:rPr>
        <w:lastRenderedPageBreak/>
        <w:t>Table 5.</w:t>
      </w:r>
      <w:r w:rsidRPr="008644C9">
        <w:rPr>
          <w:rFonts w:ascii="Aptos" w:hAnsi="Aptos" w:cs="Arial"/>
          <w:sz w:val="22"/>
          <w:szCs w:val="22"/>
        </w:rPr>
        <w:t xml:space="preserve"> Total antibiotic duration comparison for UM HMS manually abstracted data (gold standard) to UM eCQM in 450 CAP patients </w:t>
      </w:r>
    </w:p>
    <w:tbl>
      <w:tblPr>
        <w:tblStyle w:val="TableGrid"/>
        <w:tblW w:w="4808" w:type="pct"/>
        <w:tblLayout w:type="fixed"/>
        <w:tblLook w:val="04A0" w:firstRow="1" w:lastRow="0" w:firstColumn="1" w:lastColumn="0" w:noHBand="0" w:noVBand="1"/>
        <w:tblCaption w:val="Table 13. Total antibiotic duration comparison for UM HMS manually abstracted data (gold standard) to UM eCQM in 450 CAP patients"/>
        <w:tblDescription w:val="Manually abstracted (UM HMS) data compared to eCQM data for total antibiotic duration (&lt;5 to &gt;8.5 days) in 450 patients hospitalized with uncomplicated CAP. Total duration accuracy within 1/2 day was 91.3%, and 96.4% for within 1.5 days."/>
      </w:tblPr>
      <w:tblGrid>
        <w:gridCol w:w="1796"/>
        <w:gridCol w:w="1430"/>
        <w:gridCol w:w="1430"/>
        <w:gridCol w:w="1430"/>
        <w:gridCol w:w="1430"/>
        <w:gridCol w:w="1430"/>
        <w:gridCol w:w="1430"/>
      </w:tblGrid>
      <w:tr w:rsidR="008D3B16" w:rsidRPr="008644C9" w14:paraId="16F9FBAC" w14:textId="77777777" w:rsidTr="006838FB">
        <w:trPr>
          <w:cantSplit/>
          <w:tblHeader/>
        </w:trPr>
        <w:tc>
          <w:tcPr>
            <w:tcW w:w="865" w:type="pct"/>
          </w:tcPr>
          <w:p w14:paraId="0D178C53" w14:textId="77777777" w:rsidR="008D3B16" w:rsidRPr="008644C9" w:rsidRDefault="008D3B16" w:rsidP="006838FB">
            <w:pPr>
              <w:rPr>
                <w:rFonts w:ascii="Aptos" w:hAnsi="Aptos" w:cs="Arial"/>
                <w:sz w:val="20"/>
                <w:szCs w:val="20"/>
              </w:rPr>
            </w:pPr>
            <w:bookmarkStart w:id="10" w:name="_Hlk179981668"/>
            <w:r w:rsidRPr="008644C9">
              <w:rPr>
                <w:rFonts w:ascii="Aptos" w:hAnsi="Aptos" w:cs="Arial"/>
                <w:sz w:val="20"/>
                <w:szCs w:val="20"/>
              </w:rPr>
              <w:t>Total Duration</w:t>
            </w:r>
          </w:p>
        </w:tc>
        <w:tc>
          <w:tcPr>
            <w:tcW w:w="689" w:type="pct"/>
            <w:vAlign w:val="center"/>
          </w:tcPr>
          <w:p w14:paraId="5B6F0A4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4DE9C2C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&lt;5 days</w:t>
            </w:r>
          </w:p>
        </w:tc>
        <w:tc>
          <w:tcPr>
            <w:tcW w:w="689" w:type="pct"/>
            <w:vAlign w:val="center"/>
          </w:tcPr>
          <w:p w14:paraId="1BE2DBC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69157E8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5 days</w:t>
            </w:r>
          </w:p>
        </w:tc>
        <w:tc>
          <w:tcPr>
            <w:tcW w:w="689" w:type="pct"/>
            <w:vAlign w:val="center"/>
          </w:tcPr>
          <w:p w14:paraId="78A43E8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4FFFF5C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6 days</w:t>
            </w:r>
          </w:p>
        </w:tc>
        <w:tc>
          <w:tcPr>
            <w:tcW w:w="689" w:type="pct"/>
            <w:vAlign w:val="center"/>
          </w:tcPr>
          <w:p w14:paraId="298464E7"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571FBFB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7 days</w:t>
            </w:r>
          </w:p>
        </w:tc>
        <w:tc>
          <w:tcPr>
            <w:tcW w:w="689" w:type="pct"/>
            <w:vAlign w:val="center"/>
          </w:tcPr>
          <w:p w14:paraId="7809D7F7"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2CAF29C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8 days</w:t>
            </w:r>
          </w:p>
        </w:tc>
        <w:tc>
          <w:tcPr>
            <w:tcW w:w="689" w:type="pct"/>
            <w:vAlign w:val="center"/>
          </w:tcPr>
          <w:p w14:paraId="56E355B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6A5D43A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&gt;8 days</w:t>
            </w:r>
          </w:p>
        </w:tc>
      </w:tr>
      <w:tr w:rsidR="008D3B16" w:rsidRPr="008644C9" w14:paraId="0AA2B3C8" w14:textId="77777777" w:rsidTr="006838FB">
        <w:trPr>
          <w:cantSplit/>
        </w:trPr>
        <w:tc>
          <w:tcPr>
            <w:tcW w:w="865" w:type="pct"/>
          </w:tcPr>
          <w:p w14:paraId="0F38B554"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0D9101B4" w14:textId="77777777" w:rsidR="008D3B16" w:rsidRPr="008644C9" w:rsidRDefault="008D3B16" w:rsidP="006838FB">
            <w:pPr>
              <w:rPr>
                <w:rFonts w:ascii="Aptos" w:hAnsi="Aptos" w:cs="Arial"/>
                <w:sz w:val="20"/>
                <w:szCs w:val="20"/>
              </w:rPr>
            </w:pPr>
            <w:r w:rsidRPr="008644C9">
              <w:rPr>
                <w:rFonts w:ascii="Aptos" w:hAnsi="Aptos" w:cs="Arial"/>
                <w:sz w:val="20"/>
                <w:szCs w:val="20"/>
              </w:rPr>
              <w:t>&lt;5 days</w:t>
            </w:r>
          </w:p>
        </w:tc>
        <w:tc>
          <w:tcPr>
            <w:tcW w:w="689" w:type="pct"/>
            <w:shd w:val="clear" w:color="auto" w:fill="4EA72E" w:themeFill="accent6"/>
            <w:vAlign w:val="center"/>
          </w:tcPr>
          <w:p w14:paraId="0EFB13F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14 (3.1%)</w:t>
            </w:r>
          </w:p>
        </w:tc>
        <w:tc>
          <w:tcPr>
            <w:tcW w:w="689" w:type="pct"/>
            <w:shd w:val="clear" w:color="auto" w:fill="FFFF99"/>
            <w:vAlign w:val="center"/>
          </w:tcPr>
          <w:p w14:paraId="513A69D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48FC096B"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0802285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689" w:type="pct"/>
            <w:vAlign w:val="center"/>
          </w:tcPr>
          <w:p w14:paraId="55D141C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57D467E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r>
      <w:tr w:rsidR="008D3B16" w:rsidRPr="008644C9" w14:paraId="44CA7AD2" w14:textId="77777777" w:rsidTr="006838FB">
        <w:trPr>
          <w:cantSplit/>
        </w:trPr>
        <w:tc>
          <w:tcPr>
            <w:tcW w:w="865" w:type="pct"/>
          </w:tcPr>
          <w:p w14:paraId="1ED7AF3D"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536A77BF" w14:textId="77777777" w:rsidR="008D3B16" w:rsidRPr="008644C9" w:rsidRDefault="008D3B16" w:rsidP="006838FB">
            <w:pPr>
              <w:rPr>
                <w:rFonts w:ascii="Aptos" w:hAnsi="Aptos" w:cs="Arial"/>
                <w:sz w:val="20"/>
                <w:szCs w:val="20"/>
              </w:rPr>
            </w:pPr>
            <w:r w:rsidRPr="008644C9">
              <w:rPr>
                <w:rFonts w:ascii="Aptos" w:hAnsi="Aptos" w:cs="Arial"/>
                <w:sz w:val="20"/>
                <w:szCs w:val="20"/>
              </w:rPr>
              <w:t>5-5.5 days</w:t>
            </w:r>
          </w:p>
        </w:tc>
        <w:tc>
          <w:tcPr>
            <w:tcW w:w="689" w:type="pct"/>
            <w:shd w:val="clear" w:color="auto" w:fill="FFFF99"/>
            <w:vAlign w:val="center"/>
          </w:tcPr>
          <w:p w14:paraId="3680CA4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shd w:val="clear" w:color="auto" w:fill="4EA72E" w:themeFill="accent6"/>
            <w:vAlign w:val="center"/>
          </w:tcPr>
          <w:p w14:paraId="05DC00B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62 (13.8%)</w:t>
            </w:r>
          </w:p>
        </w:tc>
        <w:tc>
          <w:tcPr>
            <w:tcW w:w="689" w:type="pct"/>
            <w:shd w:val="clear" w:color="auto" w:fill="FFFF99"/>
            <w:vAlign w:val="center"/>
          </w:tcPr>
          <w:p w14:paraId="64147C4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5 (1.1%)</w:t>
            </w:r>
          </w:p>
        </w:tc>
        <w:tc>
          <w:tcPr>
            <w:tcW w:w="689" w:type="pct"/>
            <w:vAlign w:val="center"/>
          </w:tcPr>
          <w:p w14:paraId="00F02C5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(0.7%)</w:t>
            </w:r>
          </w:p>
        </w:tc>
        <w:tc>
          <w:tcPr>
            <w:tcW w:w="689" w:type="pct"/>
            <w:vAlign w:val="center"/>
          </w:tcPr>
          <w:p w14:paraId="18E21E8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35BA3D3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443BF7EB" w14:textId="77777777" w:rsidTr="006838FB">
        <w:trPr>
          <w:cantSplit/>
        </w:trPr>
        <w:tc>
          <w:tcPr>
            <w:tcW w:w="865" w:type="pct"/>
          </w:tcPr>
          <w:p w14:paraId="26D6AFBE"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1520E39E" w14:textId="77777777" w:rsidR="008D3B16" w:rsidRPr="008644C9" w:rsidRDefault="008D3B16" w:rsidP="006838FB">
            <w:pPr>
              <w:rPr>
                <w:rFonts w:ascii="Aptos" w:hAnsi="Aptos" w:cs="Arial"/>
                <w:sz w:val="20"/>
                <w:szCs w:val="20"/>
              </w:rPr>
            </w:pPr>
            <w:r w:rsidRPr="008644C9">
              <w:rPr>
                <w:rFonts w:ascii="Aptos" w:hAnsi="Aptos" w:cs="Arial"/>
                <w:sz w:val="20"/>
                <w:szCs w:val="20"/>
              </w:rPr>
              <w:t>6-6.5 days</w:t>
            </w:r>
          </w:p>
        </w:tc>
        <w:tc>
          <w:tcPr>
            <w:tcW w:w="689" w:type="pct"/>
            <w:vAlign w:val="center"/>
          </w:tcPr>
          <w:p w14:paraId="29C8E4D7"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shd w:val="clear" w:color="auto" w:fill="FFFF99"/>
            <w:vAlign w:val="center"/>
          </w:tcPr>
          <w:p w14:paraId="1AFFC7A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4 (0.9%)</w:t>
            </w:r>
          </w:p>
        </w:tc>
        <w:tc>
          <w:tcPr>
            <w:tcW w:w="689" w:type="pct"/>
            <w:shd w:val="clear" w:color="auto" w:fill="4EA72E" w:themeFill="accent6"/>
            <w:vAlign w:val="center"/>
          </w:tcPr>
          <w:p w14:paraId="619BFAD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81 (18.0%)</w:t>
            </w:r>
          </w:p>
        </w:tc>
        <w:tc>
          <w:tcPr>
            <w:tcW w:w="689" w:type="pct"/>
            <w:shd w:val="clear" w:color="auto" w:fill="FFFF99"/>
            <w:vAlign w:val="center"/>
          </w:tcPr>
          <w:p w14:paraId="37F2A60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689" w:type="pct"/>
            <w:vAlign w:val="center"/>
          </w:tcPr>
          <w:p w14:paraId="72D9376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122F863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(0.7%)</w:t>
            </w:r>
          </w:p>
        </w:tc>
      </w:tr>
      <w:tr w:rsidR="008D3B16" w:rsidRPr="008644C9" w14:paraId="4FF75232" w14:textId="77777777" w:rsidTr="006838FB">
        <w:trPr>
          <w:cantSplit/>
        </w:trPr>
        <w:tc>
          <w:tcPr>
            <w:tcW w:w="865" w:type="pct"/>
          </w:tcPr>
          <w:p w14:paraId="4BA2BE59"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3D6D3D37" w14:textId="77777777" w:rsidR="008D3B16" w:rsidRPr="008644C9" w:rsidRDefault="008D3B16" w:rsidP="006838FB">
            <w:pPr>
              <w:rPr>
                <w:rFonts w:ascii="Aptos" w:hAnsi="Aptos" w:cs="Arial"/>
                <w:sz w:val="20"/>
                <w:szCs w:val="20"/>
              </w:rPr>
            </w:pPr>
            <w:r w:rsidRPr="008644C9">
              <w:rPr>
                <w:rFonts w:ascii="Aptos" w:hAnsi="Aptos" w:cs="Arial"/>
                <w:sz w:val="20"/>
                <w:szCs w:val="20"/>
              </w:rPr>
              <w:t>7-7.5 days</w:t>
            </w:r>
          </w:p>
        </w:tc>
        <w:tc>
          <w:tcPr>
            <w:tcW w:w="689" w:type="pct"/>
            <w:vAlign w:val="center"/>
          </w:tcPr>
          <w:p w14:paraId="22D23B8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689" w:type="pct"/>
            <w:vAlign w:val="center"/>
          </w:tcPr>
          <w:p w14:paraId="7641732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shd w:val="clear" w:color="auto" w:fill="FFFF99"/>
            <w:vAlign w:val="center"/>
          </w:tcPr>
          <w:p w14:paraId="47EB1D8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(0.7%)</w:t>
            </w:r>
          </w:p>
        </w:tc>
        <w:tc>
          <w:tcPr>
            <w:tcW w:w="689" w:type="pct"/>
            <w:shd w:val="clear" w:color="auto" w:fill="4EA72E" w:themeFill="accent6"/>
            <w:vAlign w:val="center"/>
          </w:tcPr>
          <w:p w14:paraId="21D8517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78 (17.3%)</w:t>
            </w:r>
          </w:p>
        </w:tc>
        <w:tc>
          <w:tcPr>
            <w:tcW w:w="689" w:type="pct"/>
            <w:shd w:val="clear" w:color="auto" w:fill="FFFF99"/>
            <w:vAlign w:val="center"/>
          </w:tcPr>
          <w:p w14:paraId="02B9BCB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(0.7%)</w:t>
            </w:r>
          </w:p>
        </w:tc>
        <w:tc>
          <w:tcPr>
            <w:tcW w:w="689" w:type="pct"/>
            <w:vAlign w:val="center"/>
          </w:tcPr>
          <w:p w14:paraId="2A8874D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(0.7%)</w:t>
            </w:r>
          </w:p>
        </w:tc>
      </w:tr>
      <w:tr w:rsidR="008D3B16" w:rsidRPr="008644C9" w14:paraId="3AC63694" w14:textId="77777777" w:rsidTr="006838FB">
        <w:trPr>
          <w:cantSplit/>
        </w:trPr>
        <w:tc>
          <w:tcPr>
            <w:tcW w:w="865" w:type="pct"/>
          </w:tcPr>
          <w:p w14:paraId="5E191CD5"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0473FAF6" w14:textId="77777777" w:rsidR="008D3B16" w:rsidRPr="008644C9" w:rsidRDefault="008D3B16" w:rsidP="006838FB">
            <w:pPr>
              <w:rPr>
                <w:rFonts w:ascii="Aptos" w:hAnsi="Aptos" w:cs="Arial"/>
                <w:sz w:val="20"/>
                <w:szCs w:val="20"/>
              </w:rPr>
            </w:pPr>
            <w:r w:rsidRPr="008644C9">
              <w:rPr>
                <w:rFonts w:ascii="Aptos" w:hAnsi="Aptos" w:cs="Arial"/>
                <w:sz w:val="20"/>
                <w:szCs w:val="20"/>
              </w:rPr>
              <w:t>8-8.5 days</w:t>
            </w:r>
          </w:p>
        </w:tc>
        <w:tc>
          <w:tcPr>
            <w:tcW w:w="689" w:type="pct"/>
            <w:vAlign w:val="center"/>
          </w:tcPr>
          <w:p w14:paraId="706F723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7E7D0FA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689" w:type="pct"/>
            <w:vAlign w:val="center"/>
          </w:tcPr>
          <w:p w14:paraId="1ECD6C2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689" w:type="pct"/>
            <w:shd w:val="clear" w:color="auto" w:fill="FFFF99"/>
            <w:vAlign w:val="center"/>
          </w:tcPr>
          <w:p w14:paraId="49BA035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689" w:type="pct"/>
            <w:shd w:val="clear" w:color="auto" w:fill="4EA72E" w:themeFill="accent6"/>
            <w:vAlign w:val="center"/>
          </w:tcPr>
          <w:p w14:paraId="001EA97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71 (15.8%)</w:t>
            </w:r>
          </w:p>
        </w:tc>
        <w:tc>
          <w:tcPr>
            <w:tcW w:w="689" w:type="pct"/>
            <w:shd w:val="clear" w:color="auto" w:fill="FFFF99"/>
            <w:vAlign w:val="center"/>
          </w:tcPr>
          <w:p w14:paraId="335764E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4 (0.9%)</w:t>
            </w:r>
          </w:p>
        </w:tc>
      </w:tr>
      <w:tr w:rsidR="008D3B16" w:rsidRPr="008644C9" w14:paraId="5AA057F3" w14:textId="77777777" w:rsidTr="006838FB">
        <w:trPr>
          <w:cantSplit/>
        </w:trPr>
        <w:tc>
          <w:tcPr>
            <w:tcW w:w="865" w:type="pct"/>
          </w:tcPr>
          <w:p w14:paraId="61289305"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6C9D1D0D" w14:textId="77777777" w:rsidR="008D3B16" w:rsidRPr="008644C9" w:rsidRDefault="008D3B16" w:rsidP="006838FB">
            <w:pPr>
              <w:rPr>
                <w:rFonts w:ascii="Aptos" w:hAnsi="Aptos" w:cs="Arial"/>
                <w:sz w:val="20"/>
                <w:szCs w:val="20"/>
              </w:rPr>
            </w:pPr>
            <w:r w:rsidRPr="008644C9">
              <w:rPr>
                <w:rFonts w:ascii="Aptos" w:hAnsi="Aptos" w:cs="Arial"/>
                <w:sz w:val="20"/>
                <w:szCs w:val="20"/>
              </w:rPr>
              <w:t>&gt;8.5 days</w:t>
            </w:r>
          </w:p>
        </w:tc>
        <w:tc>
          <w:tcPr>
            <w:tcW w:w="689" w:type="pct"/>
            <w:vAlign w:val="center"/>
          </w:tcPr>
          <w:p w14:paraId="62706DB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0E2CDD6B"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6A371B9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689" w:type="pct"/>
            <w:vAlign w:val="center"/>
          </w:tcPr>
          <w:p w14:paraId="5F2AB29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689" w:type="pct"/>
            <w:shd w:val="clear" w:color="auto" w:fill="FFFF99"/>
            <w:vAlign w:val="center"/>
          </w:tcPr>
          <w:p w14:paraId="04124E4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689" w:type="pct"/>
            <w:shd w:val="clear" w:color="auto" w:fill="4EA72E" w:themeFill="accent6"/>
            <w:vAlign w:val="center"/>
          </w:tcPr>
          <w:p w14:paraId="4D51EA8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105 (23.3%)</w:t>
            </w:r>
          </w:p>
        </w:tc>
      </w:tr>
    </w:tbl>
    <w:bookmarkEnd w:id="10"/>
    <w:p w14:paraId="545AE39C" w14:textId="77777777" w:rsidR="008D3B16" w:rsidRPr="008644C9" w:rsidRDefault="008D3B16" w:rsidP="008D3B16">
      <w:pPr>
        <w:spacing w:before="120" w:line="264" w:lineRule="auto"/>
        <w:rPr>
          <w:rFonts w:ascii="Aptos" w:hAnsi="Aptos" w:cs="Arial"/>
          <w:sz w:val="18"/>
          <w:szCs w:val="18"/>
        </w:rPr>
      </w:pPr>
      <w:r w:rsidRPr="008644C9">
        <w:rPr>
          <w:rFonts w:ascii="Aptos" w:hAnsi="Aptos" w:cs="Arial"/>
          <w:sz w:val="18"/>
          <w:szCs w:val="18"/>
        </w:rPr>
        <w:t>411/450 (91.3%) in green were accurate within a ½ day; 434/450 (96.4%) green/yellow were accurate within 1.5 days</w:t>
      </w:r>
    </w:p>
    <w:p w14:paraId="3DDACBD0" w14:textId="77777777" w:rsidR="008D3B16" w:rsidRPr="008644C9" w:rsidRDefault="008D3B16" w:rsidP="008D3B16">
      <w:pPr>
        <w:spacing w:line="264" w:lineRule="auto"/>
        <w:rPr>
          <w:rFonts w:ascii="Aptos" w:hAnsi="Aptos" w:cs="Arial"/>
          <w:sz w:val="18"/>
          <w:szCs w:val="18"/>
        </w:rPr>
      </w:pPr>
      <w:r w:rsidRPr="008644C9">
        <w:rPr>
          <w:rFonts w:ascii="Aptos" w:hAnsi="Aptos" w:cs="Arial"/>
          <w:sz w:val="18"/>
          <w:szCs w:val="18"/>
        </w:rPr>
        <w:t xml:space="preserve">Abbreviations: CAP, community-acquired pneumonia; UM, University of Michigan; HMS, Michigan Hospital Medicine Safety Consortium </w:t>
      </w:r>
    </w:p>
    <w:p w14:paraId="0DC9B2DF" w14:textId="77777777" w:rsidR="008D3B16" w:rsidRPr="008644C9" w:rsidRDefault="008D3B16" w:rsidP="008D3B16">
      <w:pPr>
        <w:spacing w:line="264" w:lineRule="auto"/>
        <w:jc w:val="center"/>
        <w:rPr>
          <w:rFonts w:ascii="Aptos" w:hAnsi="Aptos" w:cs="Arial"/>
          <w:sz w:val="22"/>
          <w:szCs w:val="22"/>
        </w:rPr>
      </w:pPr>
    </w:p>
    <w:p w14:paraId="0DDFD35B" w14:textId="77777777" w:rsidR="008D3B16" w:rsidRPr="008644C9" w:rsidRDefault="008D3B16" w:rsidP="008D3B16">
      <w:pPr>
        <w:rPr>
          <w:rFonts w:ascii="Aptos" w:hAnsi="Aptos" w:cs="Arial"/>
          <w:b/>
          <w:bCs/>
          <w:sz w:val="22"/>
          <w:szCs w:val="22"/>
        </w:rPr>
      </w:pPr>
    </w:p>
    <w:p w14:paraId="5EBC0254" w14:textId="77777777" w:rsidR="008D3B16" w:rsidRPr="008644C9" w:rsidRDefault="008D3B16" w:rsidP="008D3B16">
      <w:pPr>
        <w:rPr>
          <w:rFonts w:ascii="Aptos" w:hAnsi="Aptos" w:cs="Arial"/>
          <w:sz w:val="22"/>
          <w:szCs w:val="22"/>
        </w:rPr>
      </w:pPr>
      <w:r w:rsidRPr="008644C9">
        <w:rPr>
          <w:rFonts w:ascii="Aptos" w:hAnsi="Aptos" w:cs="Arial"/>
          <w:b/>
          <w:bCs/>
          <w:sz w:val="22"/>
          <w:szCs w:val="22"/>
        </w:rPr>
        <w:t>Table 6.</w:t>
      </w:r>
      <w:r w:rsidRPr="008644C9">
        <w:rPr>
          <w:rFonts w:ascii="Aptos" w:hAnsi="Aptos" w:cs="Arial"/>
          <w:sz w:val="22"/>
          <w:szCs w:val="22"/>
        </w:rPr>
        <w:t xml:space="preserve"> Inpatient antibiotic duration comparison for UM HMS manually abstracted data (gold standard) to UM eCQM in 450 CAP patients </w:t>
      </w:r>
    </w:p>
    <w:tbl>
      <w:tblPr>
        <w:tblStyle w:val="TableGrid"/>
        <w:tblW w:w="4830" w:type="pct"/>
        <w:tblLook w:val="04A0" w:firstRow="1" w:lastRow="0" w:firstColumn="1" w:lastColumn="0" w:noHBand="0" w:noVBand="1"/>
        <w:tblCaption w:val="Table 14. Inpatient antibiotic duration comparison for UM HMS manually abstracted data (gold standard) to UM eCQM in 450 CAP patients"/>
        <w:tblDescription w:val="Manually abstracted (UM HMS) data compared to eCQM data for inpatient antibiotic duration (&lt;5 to &gt;8.5 days) in 450 patients hospitalized with uncomplicated CAP. Inpatient duration accuracy within 1/2 day was 91.6%, and 98.5% for within 1.5 days."/>
      </w:tblPr>
      <w:tblGrid>
        <w:gridCol w:w="1391"/>
        <w:gridCol w:w="1506"/>
        <w:gridCol w:w="1506"/>
        <w:gridCol w:w="1505"/>
        <w:gridCol w:w="1505"/>
        <w:gridCol w:w="1505"/>
        <w:gridCol w:w="1505"/>
      </w:tblGrid>
      <w:tr w:rsidR="008D3B16" w:rsidRPr="008644C9" w14:paraId="2355CDF9" w14:textId="77777777" w:rsidTr="006838FB">
        <w:trPr>
          <w:cantSplit/>
          <w:tblHeader/>
        </w:trPr>
        <w:tc>
          <w:tcPr>
            <w:tcW w:w="667" w:type="pct"/>
          </w:tcPr>
          <w:p w14:paraId="6DB23A29" w14:textId="77777777" w:rsidR="008D3B16" w:rsidRPr="008644C9" w:rsidRDefault="008D3B16" w:rsidP="006838FB">
            <w:pPr>
              <w:rPr>
                <w:rFonts w:ascii="Aptos" w:hAnsi="Aptos" w:cs="Arial"/>
                <w:sz w:val="20"/>
                <w:szCs w:val="20"/>
              </w:rPr>
            </w:pPr>
            <w:r w:rsidRPr="008644C9">
              <w:rPr>
                <w:rFonts w:ascii="Aptos" w:hAnsi="Aptos" w:cs="Arial"/>
                <w:sz w:val="20"/>
                <w:szCs w:val="20"/>
              </w:rPr>
              <w:t>Inpatient Duration</w:t>
            </w:r>
          </w:p>
        </w:tc>
        <w:tc>
          <w:tcPr>
            <w:tcW w:w="722" w:type="pct"/>
            <w:vAlign w:val="center"/>
          </w:tcPr>
          <w:p w14:paraId="696E3B7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44EB445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&lt;5 days</w:t>
            </w:r>
          </w:p>
        </w:tc>
        <w:tc>
          <w:tcPr>
            <w:tcW w:w="722" w:type="pct"/>
            <w:vAlign w:val="center"/>
          </w:tcPr>
          <w:p w14:paraId="10A9220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438B6CB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5 days</w:t>
            </w:r>
          </w:p>
        </w:tc>
        <w:tc>
          <w:tcPr>
            <w:tcW w:w="722" w:type="pct"/>
            <w:vAlign w:val="center"/>
          </w:tcPr>
          <w:p w14:paraId="56D774B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22A5531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6 days</w:t>
            </w:r>
          </w:p>
        </w:tc>
        <w:tc>
          <w:tcPr>
            <w:tcW w:w="722" w:type="pct"/>
            <w:vAlign w:val="center"/>
          </w:tcPr>
          <w:p w14:paraId="3B71858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0D1D572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7 days</w:t>
            </w:r>
          </w:p>
        </w:tc>
        <w:tc>
          <w:tcPr>
            <w:tcW w:w="722" w:type="pct"/>
            <w:vAlign w:val="center"/>
          </w:tcPr>
          <w:p w14:paraId="39A5405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13A24D4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8 days</w:t>
            </w:r>
          </w:p>
        </w:tc>
        <w:tc>
          <w:tcPr>
            <w:tcW w:w="722" w:type="pct"/>
            <w:vAlign w:val="center"/>
          </w:tcPr>
          <w:p w14:paraId="547A95E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7DD65A5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&gt;8 days</w:t>
            </w:r>
          </w:p>
        </w:tc>
      </w:tr>
      <w:tr w:rsidR="008D3B16" w:rsidRPr="008644C9" w14:paraId="41D98EC7" w14:textId="77777777" w:rsidTr="006838FB">
        <w:trPr>
          <w:cantSplit/>
        </w:trPr>
        <w:tc>
          <w:tcPr>
            <w:tcW w:w="667" w:type="pct"/>
          </w:tcPr>
          <w:p w14:paraId="2DCB8CD2"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74E61313" w14:textId="77777777" w:rsidR="008D3B16" w:rsidRPr="008644C9" w:rsidRDefault="008D3B16" w:rsidP="006838FB">
            <w:pPr>
              <w:rPr>
                <w:rFonts w:ascii="Aptos" w:hAnsi="Aptos" w:cs="Arial"/>
                <w:sz w:val="20"/>
                <w:szCs w:val="20"/>
              </w:rPr>
            </w:pPr>
            <w:r w:rsidRPr="008644C9">
              <w:rPr>
                <w:rFonts w:ascii="Aptos" w:hAnsi="Aptos" w:cs="Arial"/>
                <w:sz w:val="20"/>
                <w:szCs w:val="20"/>
              </w:rPr>
              <w:t>&lt;5 days</w:t>
            </w:r>
          </w:p>
        </w:tc>
        <w:tc>
          <w:tcPr>
            <w:tcW w:w="722" w:type="pct"/>
            <w:shd w:val="clear" w:color="auto" w:fill="4EA72E" w:themeFill="accent6"/>
            <w:vAlign w:val="center"/>
          </w:tcPr>
          <w:p w14:paraId="3976C85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shd w:val="clear" w:color="auto" w:fill="4EA72E" w:themeFill="accent6"/>
              </w:rPr>
              <w:t>278 (61.2%)</w:t>
            </w:r>
          </w:p>
        </w:tc>
        <w:tc>
          <w:tcPr>
            <w:tcW w:w="722" w:type="pct"/>
            <w:shd w:val="clear" w:color="auto" w:fill="FFFF99"/>
            <w:vAlign w:val="center"/>
          </w:tcPr>
          <w:p w14:paraId="1CF0CF5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722" w:type="pct"/>
            <w:vAlign w:val="center"/>
          </w:tcPr>
          <w:p w14:paraId="5D4EB0E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(0.7%)</w:t>
            </w:r>
          </w:p>
        </w:tc>
        <w:tc>
          <w:tcPr>
            <w:tcW w:w="722" w:type="pct"/>
            <w:vAlign w:val="center"/>
          </w:tcPr>
          <w:p w14:paraId="2EE5F45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46DADC8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554B391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7A284056" w14:textId="77777777" w:rsidTr="006838FB">
        <w:trPr>
          <w:cantSplit/>
        </w:trPr>
        <w:tc>
          <w:tcPr>
            <w:tcW w:w="667" w:type="pct"/>
          </w:tcPr>
          <w:p w14:paraId="52475251"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152DC818" w14:textId="77777777" w:rsidR="008D3B16" w:rsidRPr="008644C9" w:rsidRDefault="008D3B16" w:rsidP="006838FB">
            <w:pPr>
              <w:rPr>
                <w:rFonts w:ascii="Aptos" w:hAnsi="Aptos" w:cs="Arial"/>
                <w:sz w:val="20"/>
                <w:szCs w:val="20"/>
              </w:rPr>
            </w:pPr>
            <w:r w:rsidRPr="008644C9">
              <w:rPr>
                <w:rFonts w:ascii="Aptos" w:hAnsi="Aptos" w:cs="Arial"/>
                <w:sz w:val="20"/>
                <w:szCs w:val="20"/>
              </w:rPr>
              <w:t>5-5.5 days</w:t>
            </w:r>
          </w:p>
        </w:tc>
        <w:tc>
          <w:tcPr>
            <w:tcW w:w="722" w:type="pct"/>
            <w:shd w:val="clear" w:color="auto" w:fill="FFFF99"/>
            <w:vAlign w:val="center"/>
          </w:tcPr>
          <w:p w14:paraId="1861EBF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shd w:val="clear" w:color="auto" w:fill="4EA72E" w:themeFill="accent6"/>
            <w:vAlign w:val="center"/>
          </w:tcPr>
          <w:p w14:paraId="7FA5C20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shd w:val="clear" w:color="auto" w:fill="4EA72E" w:themeFill="accent6"/>
              </w:rPr>
              <w:t>82 (18.1%)</w:t>
            </w:r>
          </w:p>
        </w:tc>
        <w:tc>
          <w:tcPr>
            <w:tcW w:w="722" w:type="pct"/>
            <w:shd w:val="clear" w:color="auto" w:fill="FFFF99"/>
            <w:vAlign w:val="center"/>
          </w:tcPr>
          <w:p w14:paraId="1512B22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722" w:type="pct"/>
            <w:vAlign w:val="center"/>
          </w:tcPr>
          <w:p w14:paraId="09499A5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722" w:type="pct"/>
            <w:vAlign w:val="center"/>
          </w:tcPr>
          <w:p w14:paraId="67B31EC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5DB1697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r>
      <w:tr w:rsidR="008D3B16" w:rsidRPr="008644C9" w14:paraId="56DB79B6" w14:textId="77777777" w:rsidTr="006838FB">
        <w:trPr>
          <w:cantSplit/>
        </w:trPr>
        <w:tc>
          <w:tcPr>
            <w:tcW w:w="667" w:type="pct"/>
          </w:tcPr>
          <w:p w14:paraId="75392D55"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2D8D0D17" w14:textId="77777777" w:rsidR="008D3B16" w:rsidRPr="008644C9" w:rsidRDefault="008D3B16" w:rsidP="006838FB">
            <w:pPr>
              <w:rPr>
                <w:rFonts w:ascii="Aptos" w:hAnsi="Aptos" w:cs="Arial"/>
                <w:sz w:val="20"/>
                <w:szCs w:val="20"/>
              </w:rPr>
            </w:pPr>
            <w:r w:rsidRPr="008644C9">
              <w:rPr>
                <w:rFonts w:ascii="Aptos" w:hAnsi="Aptos" w:cs="Arial"/>
                <w:sz w:val="20"/>
                <w:szCs w:val="20"/>
              </w:rPr>
              <w:t>6-6.5 days</w:t>
            </w:r>
          </w:p>
        </w:tc>
        <w:tc>
          <w:tcPr>
            <w:tcW w:w="722" w:type="pct"/>
            <w:vAlign w:val="center"/>
          </w:tcPr>
          <w:p w14:paraId="173C04E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shd w:val="clear" w:color="auto" w:fill="FFFF99"/>
            <w:vAlign w:val="center"/>
          </w:tcPr>
          <w:p w14:paraId="7494A15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722" w:type="pct"/>
            <w:shd w:val="clear" w:color="auto" w:fill="4EA72E" w:themeFill="accent6"/>
            <w:vAlign w:val="center"/>
          </w:tcPr>
          <w:p w14:paraId="04FEE39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shd w:val="clear" w:color="auto" w:fill="4EA72E" w:themeFill="accent6"/>
              </w:rPr>
              <w:t>47 (10.4</w:t>
            </w:r>
            <w:r w:rsidRPr="008644C9">
              <w:rPr>
                <w:rFonts w:ascii="Aptos" w:hAnsi="Aptos" w:cs="Arial"/>
                <w:sz w:val="20"/>
                <w:szCs w:val="20"/>
              </w:rPr>
              <w:t>%)</w:t>
            </w:r>
          </w:p>
        </w:tc>
        <w:tc>
          <w:tcPr>
            <w:tcW w:w="722" w:type="pct"/>
            <w:shd w:val="clear" w:color="auto" w:fill="FFFF99"/>
            <w:vAlign w:val="center"/>
          </w:tcPr>
          <w:p w14:paraId="416D24D7"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722" w:type="pct"/>
            <w:vAlign w:val="center"/>
          </w:tcPr>
          <w:p w14:paraId="132B2CE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7A66DA8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4A0AFE56" w14:textId="77777777" w:rsidTr="006838FB">
        <w:trPr>
          <w:cantSplit/>
        </w:trPr>
        <w:tc>
          <w:tcPr>
            <w:tcW w:w="667" w:type="pct"/>
          </w:tcPr>
          <w:p w14:paraId="3CD92C56"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7286A453" w14:textId="77777777" w:rsidR="008D3B16" w:rsidRPr="008644C9" w:rsidRDefault="008D3B16" w:rsidP="006838FB">
            <w:pPr>
              <w:rPr>
                <w:rFonts w:ascii="Aptos" w:hAnsi="Aptos" w:cs="Arial"/>
                <w:sz w:val="20"/>
                <w:szCs w:val="20"/>
              </w:rPr>
            </w:pPr>
            <w:r w:rsidRPr="008644C9">
              <w:rPr>
                <w:rFonts w:ascii="Aptos" w:hAnsi="Aptos" w:cs="Arial"/>
                <w:sz w:val="20"/>
                <w:szCs w:val="20"/>
              </w:rPr>
              <w:t>7-7.5 days</w:t>
            </w:r>
          </w:p>
        </w:tc>
        <w:tc>
          <w:tcPr>
            <w:tcW w:w="722" w:type="pct"/>
            <w:vAlign w:val="center"/>
          </w:tcPr>
          <w:p w14:paraId="325AF02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65BACBB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shd w:val="clear" w:color="auto" w:fill="FFFF99"/>
            <w:vAlign w:val="center"/>
          </w:tcPr>
          <w:p w14:paraId="4A2658B7"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722" w:type="pct"/>
            <w:shd w:val="clear" w:color="auto" w:fill="4EA72E" w:themeFill="accent6"/>
            <w:vAlign w:val="center"/>
          </w:tcPr>
          <w:p w14:paraId="3C263C8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shd w:val="clear" w:color="auto" w:fill="4EA72E" w:themeFill="accent6"/>
              </w:rPr>
              <w:t>18 (4.0%)</w:t>
            </w:r>
          </w:p>
        </w:tc>
        <w:tc>
          <w:tcPr>
            <w:tcW w:w="722" w:type="pct"/>
            <w:shd w:val="clear" w:color="auto" w:fill="FFFF99"/>
            <w:vAlign w:val="center"/>
          </w:tcPr>
          <w:p w14:paraId="21ECA49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722" w:type="pct"/>
            <w:vAlign w:val="center"/>
          </w:tcPr>
          <w:p w14:paraId="0E7217E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r>
      <w:tr w:rsidR="008D3B16" w:rsidRPr="008644C9" w14:paraId="11C4059E" w14:textId="77777777" w:rsidTr="006838FB">
        <w:trPr>
          <w:cantSplit/>
        </w:trPr>
        <w:tc>
          <w:tcPr>
            <w:tcW w:w="667" w:type="pct"/>
          </w:tcPr>
          <w:p w14:paraId="22CBFCCA"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06AD992B" w14:textId="77777777" w:rsidR="008D3B16" w:rsidRPr="008644C9" w:rsidRDefault="008D3B16" w:rsidP="006838FB">
            <w:pPr>
              <w:rPr>
                <w:rFonts w:ascii="Aptos" w:hAnsi="Aptos" w:cs="Arial"/>
                <w:sz w:val="20"/>
                <w:szCs w:val="20"/>
              </w:rPr>
            </w:pPr>
            <w:r w:rsidRPr="008644C9">
              <w:rPr>
                <w:rFonts w:ascii="Aptos" w:hAnsi="Aptos" w:cs="Arial"/>
                <w:sz w:val="20"/>
                <w:szCs w:val="20"/>
              </w:rPr>
              <w:t>8-8.5 days</w:t>
            </w:r>
          </w:p>
        </w:tc>
        <w:tc>
          <w:tcPr>
            <w:tcW w:w="722" w:type="pct"/>
            <w:vAlign w:val="center"/>
          </w:tcPr>
          <w:p w14:paraId="4CD9BA8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57D661F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56799AD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shd w:val="clear" w:color="auto" w:fill="FFFF99"/>
            <w:vAlign w:val="center"/>
          </w:tcPr>
          <w:p w14:paraId="1236474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shd w:val="clear" w:color="auto" w:fill="4EA72E" w:themeFill="accent6"/>
            <w:vAlign w:val="center"/>
          </w:tcPr>
          <w:p w14:paraId="475A585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shd w:val="clear" w:color="auto" w:fill="4EA72E" w:themeFill="accent6"/>
              </w:rPr>
              <w:t>11 (2.4%)</w:t>
            </w:r>
          </w:p>
        </w:tc>
        <w:tc>
          <w:tcPr>
            <w:tcW w:w="722" w:type="pct"/>
            <w:shd w:val="clear" w:color="auto" w:fill="FFFF99"/>
            <w:vAlign w:val="center"/>
          </w:tcPr>
          <w:p w14:paraId="6FFB2B9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5A8966FA" w14:textId="77777777" w:rsidTr="006838FB">
        <w:trPr>
          <w:cantSplit/>
        </w:trPr>
        <w:tc>
          <w:tcPr>
            <w:tcW w:w="667" w:type="pct"/>
          </w:tcPr>
          <w:p w14:paraId="28183612" w14:textId="77777777" w:rsidR="008D3B16" w:rsidRPr="008644C9" w:rsidRDefault="008D3B16" w:rsidP="006838FB">
            <w:pPr>
              <w:rPr>
                <w:rFonts w:ascii="Aptos" w:hAnsi="Aptos" w:cs="Arial"/>
                <w:sz w:val="20"/>
                <w:szCs w:val="20"/>
              </w:rPr>
            </w:pPr>
            <w:r w:rsidRPr="008644C9">
              <w:rPr>
                <w:rFonts w:ascii="Aptos" w:hAnsi="Aptos" w:cs="Arial"/>
                <w:sz w:val="20"/>
                <w:szCs w:val="20"/>
              </w:rPr>
              <w:t>UM eCQM</w:t>
            </w:r>
          </w:p>
          <w:p w14:paraId="43DF28CE" w14:textId="77777777" w:rsidR="008D3B16" w:rsidRPr="008644C9" w:rsidRDefault="008D3B16" w:rsidP="006838FB">
            <w:pPr>
              <w:rPr>
                <w:rFonts w:ascii="Aptos" w:hAnsi="Aptos" w:cs="Arial"/>
                <w:sz w:val="20"/>
                <w:szCs w:val="20"/>
              </w:rPr>
            </w:pPr>
            <w:r w:rsidRPr="008644C9">
              <w:rPr>
                <w:rFonts w:ascii="Aptos" w:hAnsi="Aptos" w:cs="Arial"/>
                <w:sz w:val="20"/>
                <w:szCs w:val="20"/>
              </w:rPr>
              <w:t>&gt;8.5 days</w:t>
            </w:r>
          </w:p>
        </w:tc>
        <w:tc>
          <w:tcPr>
            <w:tcW w:w="722" w:type="pct"/>
            <w:vAlign w:val="center"/>
          </w:tcPr>
          <w:p w14:paraId="632D3FA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59EEC05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3755433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vAlign w:val="center"/>
          </w:tcPr>
          <w:p w14:paraId="5D01442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shd w:val="clear" w:color="auto" w:fill="FFFF99"/>
            <w:vAlign w:val="center"/>
          </w:tcPr>
          <w:p w14:paraId="149FEFC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722" w:type="pct"/>
            <w:shd w:val="clear" w:color="auto" w:fill="4EA72E" w:themeFill="accent6"/>
            <w:vAlign w:val="center"/>
          </w:tcPr>
          <w:p w14:paraId="56BE387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shd w:val="clear" w:color="auto" w:fill="4EA72E" w:themeFill="accent6"/>
              </w:rPr>
              <w:t>3 (0.7%)</w:t>
            </w:r>
          </w:p>
        </w:tc>
      </w:tr>
    </w:tbl>
    <w:p w14:paraId="644069AC" w14:textId="77777777" w:rsidR="008D3B16" w:rsidRPr="008644C9" w:rsidRDefault="008D3B16" w:rsidP="008D3B16">
      <w:pPr>
        <w:spacing w:before="120" w:line="264" w:lineRule="auto"/>
        <w:rPr>
          <w:rFonts w:ascii="Aptos" w:hAnsi="Aptos" w:cs="Arial"/>
          <w:sz w:val="18"/>
          <w:szCs w:val="18"/>
        </w:rPr>
      </w:pPr>
      <w:r w:rsidRPr="008644C9">
        <w:rPr>
          <w:rFonts w:ascii="Aptos" w:hAnsi="Aptos" w:cs="Arial"/>
          <w:sz w:val="18"/>
          <w:szCs w:val="18"/>
        </w:rPr>
        <w:t>439/454 (96.7%) in green were accurate within a ½ day; 447/454 (98.5%) green/yellow were accurate within 1.5 days</w:t>
      </w:r>
    </w:p>
    <w:p w14:paraId="1622D80F" w14:textId="77777777" w:rsidR="008D3B16" w:rsidRPr="008644C9" w:rsidRDefault="008D3B16" w:rsidP="008D3B16">
      <w:pPr>
        <w:spacing w:line="264" w:lineRule="auto"/>
        <w:rPr>
          <w:rFonts w:ascii="Aptos" w:hAnsi="Aptos" w:cs="Arial"/>
          <w:sz w:val="18"/>
          <w:szCs w:val="18"/>
        </w:rPr>
      </w:pPr>
      <w:r w:rsidRPr="008644C9">
        <w:rPr>
          <w:rFonts w:ascii="Aptos" w:hAnsi="Aptos" w:cs="Arial"/>
          <w:sz w:val="18"/>
          <w:szCs w:val="18"/>
        </w:rPr>
        <w:t xml:space="preserve">Abbreviations: CAP, community-acquired pneumonia; UM, University of Michigan; HMS, Michigan Hospital Medicine Safety Consortium </w:t>
      </w:r>
    </w:p>
    <w:p w14:paraId="51C7727E" w14:textId="77777777" w:rsidR="008D3B16" w:rsidRPr="008644C9" w:rsidRDefault="008D3B16" w:rsidP="008D3B16">
      <w:pPr>
        <w:pStyle w:val="ListParagraph"/>
        <w:ind w:left="1440"/>
        <w:rPr>
          <w:rFonts w:ascii="Aptos" w:hAnsi="Aptos" w:cs="Arial"/>
          <w:sz w:val="20"/>
          <w:szCs w:val="20"/>
        </w:rPr>
      </w:pPr>
    </w:p>
    <w:p w14:paraId="6B802AB5" w14:textId="77777777" w:rsidR="008D3B16" w:rsidRPr="008644C9" w:rsidRDefault="008D3B16" w:rsidP="008D3B16">
      <w:pPr>
        <w:rPr>
          <w:rFonts w:ascii="Aptos" w:hAnsi="Aptos" w:cs="Arial"/>
          <w:b/>
          <w:bCs/>
          <w:sz w:val="22"/>
          <w:szCs w:val="22"/>
        </w:rPr>
      </w:pPr>
      <w:r w:rsidRPr="008644C9">
        <w:rPr>
          <w:rFonts w:ascii="Aptos" w:hAnsi="Aptos" w:cs="Arial"/>
          <w:b/>
          <w:bCs/>
          <w:sz w:val="22"/>
          <w:szCs w:val="22"/>
        </w:rPr>
        <w:br w:type="page"/>
      </w:r>
    </w:p>
    <w:p w14:paraId="2EF340EA" w14:textId="77777777" w:rsidR="008D3B16" w:rsidRPr="008644C9" w:rsidRDefault="008D3B16" w:rsidP="008D3B16">
      <w:pPr>
        <w:rPr>
          <w:rFonts w:ascii="Aptos" w:hAnsi="Aptos" w:cs="Arial"/>
          <w:sz w:val="22"/>
          <w:szCs w:val="22"/>
        </w:rPr>
      </w:pPr>
      <w:r w:rsidRPr="008644C9">
        <w:rPr>
          <w:rFonts w:ascii="Aptos" w:hAnsi="Aptos" w:cs="Arial"/>
          <w:b/>
          <w:bCs/>
          <w:sz w:val="22"/>
          <w:szCs w:val="22"/>
        </w:rPr>
        <w:lastRenderedPageBreak/>
        <w:t>Table 7.</w:t>
      </w:r>
      <w:r w:rsidRPr="008644C9">
        <w:rPr>
          <w:rFonts w:ascii="Aptos" w:hAnsi="Aptos" w:cs="Arial"/>
          <w:sz w:val="22"/>
          <w:szCs w:val="22"/>
        </w:rPr>
        <w:t xml:space="preserve"> Discharge antibiotic duration comparison for UM HMS manually abstracted data (gold standard) to UM eCQM in 450 CAP patients </w:t>
      </w:r>
    </w:p>
    <w:tbl>
      <w:tblPr>
        <w:tblStyle w:val="TableGrid"/>
        <w:tblW w:w="4830" w:type="pct"/>
        <w:tblLook w:val="04A0" w:firstRow="1" w:lastRow="0" w:firstColumn="1" w:lastColumn="0" w:noHBand="0" w:noVBand="1"/>
        <w:tblCaption w:val="Table 15. Discharge antibiotic duration comparison for UM HMS manually abstracted data (gold standard) to UM eCQM in 450 CAP patients"/>
        <w:tblDescription w:val="Manually abstracted (UM HMS) data compared to eCQM data for discharge antibiotic duration (0 to &gt;6.5 days) in 450 patients hospitalized with uncomplicated CAP. Discharge duration accuracy within 1/2 day was 93.2%, and 95.0% for within 1.5 days."/>
      </w:tblPr>
      <w:tblGrid>
        <w:gridCol w:w="1487"/>
        <w:gridCol w:w="1116"/>
        <w:gridCol w:w="1118"/>
        <w:gridCol w:w="1117"/>
        <w:gridCol w:w="1117"/>
        <w:gridCol w:w="1117"/>
        <w:gridCol w:w="1117"/>
        <w:gridCol w:w="1117"/>
        <w:gridCol w:w="1117"/>
      </w:tblGrid>
      <w:tr w:rsidR="008D3B16" w:rsidRPr="008644C9" w14:paraId="733816B2" w14:textId="77777777" w:rsidTr="006838FB">
        <w:trPr>
          <w:cantSplit/>
          <w:tblHeader/>
        </w:trPr>
        <w:tc>
          <w:tcPr>
            <w:tcW w:w="713" w:type="pct"/>
            <w:shd w:val="clear" w:color="auto" w:fill="auto"/>
          </w:tcPr>
          <w:p w14:paraId="450E1EDC" w14:textId="77777777" w:rsidR="008D3B16" w:rsidRPr="008644C9" w:rsidRDefault="008D3B16" w:rsidP="006838FB">
            <w:pPr>
              <w:rPr>
                <w:rFonts w:ascii="Aptos" w:hAnsi="Aptos" w:cs="Arial"/>
                <w:sz w:val="20"/>
                <w:szCs w:val="20"/>
              </w:rPr>
            </w:pPr>
            <w:r w:rsidRPr="008644C9">
              <w:rPr>
                <w:rFonts w:ascii="Aptos" w:hAnsi="Aptos" w:cs="Arial"/>
                <w:sz w:val="20"/>
                <w:szCs w:val="20"/>
              </w:rPr>
              <w:t>Discharge Duration</w:t>
            </w:r>
          </w:p>
        </w:tc>
        <w:tc>
          <w:tcPr>
            <w:tcW w:w="535" w:type="pct"/>
            <w:shd w:val="clear" w:color="auto" w:fill="auto"/>
          </w:tcPr>
          <w:p w14:paraId="49C2AD3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4C7B37B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 days</w:t>
            </w:r>
          </w:p>
        </w:tc>
        <w:tc>
          <w:tcPr>
            <w:tcW w:w="536" w:type="pct"/>
            <w:shd w:val="clear" w:color="auto" w:fill="auto"/>
          </w:tcPr>
          <w:p w14:paraId="2E16796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2F3BFDD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day</w:t>
            </w:r>
          </w:p>
        </w:tc>
        <w:tc>
          <w:tcPr>
            <w:tcW w:w="536" w:type="pct"/>
            <w:shd w:val="clear" w:color="auto" w:fill="auto"/>
          </w:tcPr>
          <w:p w14:paraId="2B852AD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2ECA6EB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days</w:t>
            </w:r>
          </w:p>
        </w:tc>
        <w:tc>
          <w:tcPr>
            <w:tcW w:w="536" w:type="pct"/>
            <w:shd w:val="clear" w:color="auto" w:fill="auto"/>
          </w:tcPr>
          <w:p w14:paraId="2706948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427C2F3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days</w:t>
            </w:r>
          </w:p>
        </w:tc>
        <w:tc>
          <w:tcPr>
            <w:tcW w:w="536" w:type="pct"/>
            <w:shd w:val="clear" w:color="auto" w:fill="auto"/>
          </w:tcPr>
          <w:p w14:paraId="312D4C9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31DF37D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4 days</w:t>
            </w:r>
          </w:p>
        </w:tc>
        <w:tc>
          <w:tcPr>
            <w:tcW w:w="536" w:type="pct"/>
            <w:shd w:val="clear" w:color="auto" w:fill="auto"/>
          </w:tcPr>
          <w:p w14:paraId="5B6EBCF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4253A1C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5 days</w:t>
            </w:r>
          </w:p>
        </w:tc>
        <w:tc>
          <w:tcPr>
            <w:tcW w:w="536" w:type="pct"/>
            <w:shd w:val="clear" w:color="auto" w:fill="auto"/>
          </w:tcPr>
          <w:p w14:paraId="1D73020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602278A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6 days</w:t>
            </w:r>
          </w:p>
        </w:tc>
        <w:tc>
          <w:tcPr>
            <w:tcW w:w="536" w:type="pct"/>
            <w:shd w:val="clear" w:color="auto" w:fill="auto"/>
          </w:tcPr>
          <w:p w14:paraId="257A6C0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UM HMS</w:t>
            </w:r>
          </w:p>
          <w:p w14:paraId="648F944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&gt;6 days</w:t>
            </w:r>
          </w:p>
        </w:tc>
      </w:tr>
      <w:tr w:rsidR="008D3B16" w:rsidRPr="008644C9" w14:paraId="45F2BF85" w14:textId="77777777" w:rsidTr="006838FB">
        <w:trPr>
          <w:cantSplit/>
        </w:trPr>
        <w:tc>
          <w:tcPr>
            <w:tcW w:w="713" w:type="pct"/>
            <w:shd w:val="clear" w:color="auto" w:fill="auto"/>
          </w:tcPr>
          <w:p w14:paraId="49CB9FA0"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23B7ABCC" w14:textId="77777777" w:rsidR="008D3B16" w:rsidRPr="008644C9" w:rsidRDefault="008D3B16" w:rsidP="006838FB">
            <w:pPr>
              <w:rPr>
                <w:rFonts w:ascii="Aptos" w:hAnsi="Aptos" w:cs="Arial"/>
                <w:sz w:val="20"/>
                <w:szCs w:val="20"/>
              </w:rPr>
            </w:pPr>
            <w:r w:rsidRPr="008644C9">
              <w:rPr>
                <w:rFonts w:ascii="Aptos" w:hAnsi="Aptos" w:cs="Arial"/>
                <w:sz w:val="20"/>
                <w:szCs w:val="20"/>
              </w:rPr>
              <w:t>0-0.5 days</w:t>
            </w:r>
          </w:p>
        </w:tc>
        <w:tc>
          <w:tcPr>
            <w:tcW w:w="535" w:type="pct"/>
            <w:shd w:val="clear" w:color="auto" w:fill="4EA72E" w:themeFill="accent6"/>
            <w:vAlign w:val="center"/>
          </w:tcPr>
          <w:p w14:paraId="58466F7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85 (18.9%)</w:t>
            </w:r>
          </w:p>
        </w:tc>
        <w:tc>
          <w:tcPr>
            <w:tcW w:w="536" w:type="pct"/>
            <w:shd w:val="clear" w:color="auto" w:fill="FFFF99"/>
            <w:vAlign w:val="center"/>
          </w:tcPr>
          <w:p w14:paraId="212E6D6A" w14:textId="77777777" w:rsidR="008D3B16" w:rsidRPr="008644C9" w:rsidRDefault="008D3B16" w:rsidP="006838FB">
            <w:pPr>
              <w:jc w:val="center"/>
              <w:rPr>
                <w:rFonts w:ascii="Aptos" w:hAnsi="Aptos" w:cs="Arial"/>
                <w:sz w:val="20"/>
                <w:szCs w:val="20"/>
                <w:shd w:val="clear" w:color="auto" w:fill="95DCF7" w:themeFill="accent4" w:themeFillTint="66"/>
              </w:rPr>
            </w:pPr>
            <w:r w:rsidRPr="008644C9">
              <w:rPr>
                <w:rFonts w:ascii="Aptos" w:hAnsi="Aptos" w:cs="Arial"/>
                <w:sz w:val="20"/>
                <w:szCs w:val="20"/>
              </w:rPr>
              <w:t>0</w:t>
            </w:r>
          </w:p>
        </w:tc>
        <w:tc>
          <w:tcPr>
            <w:tcW w:w="536" w:type="pct"/>
            <w:shd w:val="clear" w:color="auto" w:fill="auto"/>
            <w:vAlign w:val="center"/>
          </w:tcPr>
          <w:p w14:paraId="0D283EC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5BFDCFE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331EC3AA"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3E45214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7D1B914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536" w:type="pct"/>
            <w:shd w:val="clear" w:color="auto" w:fill="auto"/>
            <w:vAlign w:val="center"/>
          </w:tcPr>
          <w:p w14:paraId="25A1A99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5A876DC8" w14:textId="77777777" w:rsidTr="006838FB">
        <w:trPr>
          <w:cantSplit/>
        </w:trPr>
        <w:tc>
          <w:tcPr>
            <w:tcW w:w="713" w:type="pct"/>
            <w:shd w:val="clear" w:color="auto" w:fill="auto"/>
          </w:tcPr>
          <w:p w14:paraId="0CAA32BA"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7868C223" w14:textId="77777777" w:rsidR="008D3B16" w:rsidRPr="008644C9" w:rsidRDefault="008D3B16" w:rsidP="006838FB">
            <w:pPr>
              <w:rPr>
                <w:rFonts w:ascii="Aptos" w:hAnsi="Aptos" w:cs="Arial"/>
                <w:sz w:val="20"/>
                <w:szCs w:val="20"/>
              </w:rPr>
            </w:pPr>
            <w:r w:rsidRPr="008644C9">
              <w:rPr>
                <w:rFonts w:ascii="Aptos" w:hAnsi="Aptos" w:cs="Arial"/>
                <w:sz w:val="20"/>
                <w:szCs w:val="20"/>
              </w:rPr>
              <w:t>1-1.5</w:t>
            </w:r>
          </w:p>
        </w:tc>
        <w:tc>
          <w:tcPr>
            <w:tcW w:w="535" w:type="pct"/>
            <w:shd w:val="clear" w:color="auto" w:fill="FFFF99"/>
            <w:vAlign w:val="center"/>
          </w:tcPr>
          <w:p w14:paraId="65ECBE3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4EA72E" w:themeFill="accent6"/>
            <w:vAlign w:val="center"/>
          </w:tcPr>
          <w:p w14:paraId="464AF80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28 (6.1%)</w:t>
            </w:r>
          </w:p>
        </w:tc>
        <w:tc>
          <w:tcPr>
            <w:tcW w:w="536" w:type="pct"/>
            <w:shd w:val="clear" w:color="auto" w:fill="FFFF99"/>
            <w:vAlign w:val="center"/>
          </w:tcPr>
          <w:p w14:paraId="45195A5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536" w:type="pct"/>
            <w:shd w:val="clear" w:color="auto" w:fill="auto"/>
            <w:vAlign w:val="center"/>
          </w:tcPr>
          <w:p w14:paraId="78AC825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536" w:type="pct"/>
            <w:shd w:val="clear" w:color="auto" w:fill="auto"/>
            <w:vAlign w:val="center"/>
          </w:tcPr>
          <w:p w14:paraId="0D122F2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0DA7F7A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7FD4D7F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236E538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5577D977" w14:textId="77777777" w:rsidTr="006838FB">
        <w:trPr>
          <w:cantSplit/>
        </w:trPr>
        <w:tc>
          <w:tcPr>
            <w:tcW w:w="713" w:type="pct"/>
            <w:shd w:val="clear" w:color="auto" w:fill="auto"/>
          </w:tcPr>
          <w:p w14:paraId="188B88A5"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3C05E680" w14:textId="77777777" w:rsidR="008D3B16" w:rsidRPr="008644C9" w:rsidRDefault="008D3B16" w:rsidP="006838FB">
            <w:pPr>
              <w:rPr>
                <w:rFonts w:ascii="Aptos" w:hAnsi="Aptos" w:cs="Arial"/>
                <w:sz w:val="20"/>
                <w:szCs w:val="20"/>
              </w:rPr>
            </w:pPr>
            <w:r w:rsidRPr="008644C9">
              <w:rPr>
                <w:rFonts w:ascii="Aptos" w:hAnsi="Aptos" w:cs="Arial"/>
                <w:sz w:val="20"/>
                <w:szCs w:val="20"/>
              </w:rPr>
              <w:t>2-2.5</w:t>
            </w:r>
          </w:p>
        </w:tc>
        <w:tc>
          <w:tcPr>
            <w:tcW w:w="535" w:type="pct"/>
            <w:shd w:val="clear" w:color="auto" w:fill="auto"/>
            <w:vAlign w:val="center"/>
          </w:tcPr>
          <w:p w14:paraId="49689E0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FFFF99"/>
            <w:vAlign w:val="center"/>
          </w:tcPr>
          <w:p w14:paraId="4D846BF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4EA72E" w:themeFill="accent6"/>
            <w:vAlign w:val="center"/>
          </w:tcPr>
          <w:p w14:paraId="6C2E6CEB"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52 (11.4%)</w:t>
            </w:r>
          </w:p>
        </w:tc>
        <w:tc>
          <w:tcPr>
            <w:tcW w:w="536" w:type="pct"/>
            <w:shd w:val="clear" w:color="auto" w:fill="FFFF99"/>
            <w:vAlign w:val="center"/>
          </w:tcPr>
          <w:p w14:paraId="4C15682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6C4AB3C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08E0D2C9"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536" w:type="pct"/>
            <w:shd w:val="clear" w:color="auto" w:fill="auto"/>
            <w:vAlign w:val="center"/>
          </w:tcPr>
          <w:p w14:paraId="340320B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7709FE9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761CCA69" w14:textId="77777777" w:rsidTr="006838FB">
        <w:trPr>
          <w:cantSplit/>
        </w:trPr>
        <w:tc>
          <w:tcPr>
            <w:tcW w:w="713" w:type="pct"/>
            <w:shd w:val="clear" w:color="auto" w:fill="auto"/>
          </w:tcPr>
          <w:p w14:paraId="71DE8D82"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01E7A7EC" w14:textId="77777777" w:rsidR="008D3B16" w:rsidRPr="008644C9" w:rsidRDefault="008D3B16" w:rsidP="006838FB">
            <w:pPr>
              <w:rPr>
                <w:rFonts w:ascii="Aptos" w:hAnsi="Aptos" w:cs="Arial"/>
                <w:sz w:val="20"/>
                <w:szCs w:val="20"/>
              </w:rPr>
            </w:pPr>
            <w:r w:rsidRPr="008644C9">
              <w:rPr>
                <w:rFonts w:ascii="Aptos" w:hAnsi="Aptos" w:cs="Arial"/>
                <w:sz w:val="20"/>
                <w:szCs w:val="20"/>
              </w:rPr>
              <w:t>3-3.5</w:t>
            </w:r>
          </w:p>
        </w:tc>
        <w:tc>
          <w:tcPr>
            <w:tcW w:w="535" w:type="pct"/>
            <w:shd w:val="clear" w:color="auto" w:fill="auto"/>
            <w:vAlign w:val="center"/>
          </w:tcPr>
          <w:p w14:paraId="2F21A73B"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3919598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FFFF99"/>
            <w:vAlign w:val="center"/>
          </w:tcPr>
          <w:p w14:paraId="1C8B76E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2 (0.4%)</w:t>
            </w:r>
          </w:p>
        </w:tc>
        <w:tc>
          <w:tcPr>
            <w:tcW w:w="536" w:type="pct"/>
            <w:shd w:val="clear" w:color="auto" w:fill="4EA72E" w:themeFill="accent6"/>
            <w:vAlign w:val="center"/>
          </w:tcPr>
          <w:p w14:paraId="2D5CD82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70 (15.3%)</w:t>
            </w:r>
          </w:p>
        </w:tc>
        <w:tc>
          <w:tcPr>
            <w:tcW w:w="536" w:type="pct"/>
            <w:shd w:val="clear" w:color="auto" w:fill="FFFF99"/>
            <w:vAlign w:val="center"/>
          </w:tcPr>
          <w:p w14:paraId="5DDE1DE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2D2DDB7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5348648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1B4661A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r>
      <w:tr w:rsidR="008D3B16" w:rsidRPr="008644C9" w14:paraId="1171E4D8" w14:textId="77777777" w:rsidTr="006838FB">
        <w:trPr>
          <w:cantSplit/>
        </w:trPr>
        <w:tc>
          <w:tcPr>
            <w:tcW w:w="713" w:type="pct"/>
            <w:shd w:val="clear" w:color="auto" w:fill="auto"/>
          </w:tcPr>
          <w:p w14:paraId="498E0552"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686EF946" w14:textId="77777777" w:rsidR="008D3B16" w:rsidRPr="008644C9" w:rsidRDefault="008D3B16" w:rsidP="006838FB">
            <w:pPr>
              <w:rPr>
                <w:rFonts w:ascii="Aptos" w:hAnsi="Aptos" w:cs="Arial"/>
                <w:sz w:val="20"/>
                <w:szCs w:val="20"/>
              </w:rPr>
            </w:pPr>
            <w:r w:rsidRPr="008644C9">
              <w:rPr>
                <w:rFonts w:ascii="Aptos" w:hAnsi="Aptos" w:cs="Arial"/>
                <w:sz w:val="20"/>
                <w:szCs w:val="20"/>
              </w:rPr>
              <w:t>4-4.5</w:t>
            </w:r>
          </w:p>
        </w:tc>
        <w:tc>
          <w:tcPr>
            <w:tcW w:w="535" w:type="pct"/>
            <w:shd w:val="clear" w:color="auto" w:fill="auto"/>
            <w:vAlign w:val="center"/>
          </w:tcPr>
          <w:p w14:paraId="045DCE2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1DBA218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08A4375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FFFF99"/>
            <w:vAlign w:val="center"/>
          </w:tcPr>
          <w:p w14:paraId="1EEAF60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4EA72E" w:themeFill="accent6"/>
            <w:vAlign w:val="center"/>
          </w:tcPr>
          <w:p w14:paraId="36ECDE4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67 (14.6%)</w:t>
            </w:r>
          </w:p>
        </w:tc>
        <w:tc>
          <w:tcPr>
            <w:tcW w:w="536" w:type="pct"/>
            <w:shd w:val="clear" w:color="auto" w:fill="FFFF99"/>
            <w:vAlign w:val="center"/>
          </w:tcPr>
          <w:p w14:paraId="3817458C"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6FD3CED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2BB31D2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03BF95C9" w14:textId="77777777" w:rsidTr="006838FB">
        <w:trPr>
          <w:cantSplit/>
        </w:trPr>
        <w:tc>
          <w:tcPr>
            <w:tcW w:w="713" w:type="pct"/>
            <w:shd w:val="clear" w:color="auto" w:fill="auto"/>
          </w:tcPr>
          <w:p w14:paraId="5964E21F"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0E43AD2F" w14:textId="77777777" w:rsidR="008D3B16" w:rsidRPr="008644C9" w:rsidRDefault="008D3B16" w:rsidP="006838FB">
            <w:pPr>
              <w:rPr>
                <w:rFonts w:ascii="Aptos" w:hAnsi="Aptos" w:cs="Arial"/>
                <w:sz w:val="20"/>
                <w:szCs w:val="20"/>
              </w:rPr>
            </w:pPr>
            <w:r w:rsidRPr="008644C9">
              <w:rPr>
                <w:rFonts w:ascii="Aptos" w:hAnsi="Aptos" w:cs="Arial"/>
                <w:sz w:val="20"/>
                <w:szCs w:val="20"/>
              </w:rPr>
              <w:t>5-5.5</w:t>
            </w:r>
          </w:p>
        </w:tc>
        <w:tc>
          <w:tcPr>
            <w:tcW w:w="535" w:type="pct"/>
            <w:shd w:val="clear" w:color="auto" w:fill="auto"/>
            <w:vAlign w:val="center"/>
          </w:tcPr>
          <w:p w14:paraId="5557A97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1F0CCEF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496D7F73"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08BF39D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FFFF99"/>
            <w:vAlign w:val="center"/>
          </w:tcPr>
          <w:p w14:paraId="2B19D50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4EA72E" w:themeFill="accent6"/>
            <w:vAlign w:val="center"/>
          </w:tcPr>
          <w:p w14:paraId="190D452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74 (16.2%)</w:t>
            </w:r>
          </w:p>
        </w:tc>
        <w:tc>
          <w:tcPr>
            <w:tcW w:w="536" w:type="pct"/>
            <w:shd w:val="clear" w:color="auto" w:fill="FFFF99"/>
            <w:vAlign w:val="center"/>
          </w:tcPr>
          <w:p w14:paraId="2D23C9E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51068F9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69CA4898" w14:textId="77777777" w:rsidTr="006838FB">
        <w:trPr>
          <w:cantSplit/>
        </w:trPr>
        <w:tc>
          <w:tcPr>
            <w:tcW w:w="713" w:type="pct"/>
            <w:shd w:val="clear" w:color="auto" w:fill="auto"/>
          </w:tcPr>
          <w:p w14:paraId="67E1F225"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62136322" w14:textId="77777777" w:rsidR="008D3B16" w:rsidRPr="008644C9" w:rsidRDefault="008D3B16" w:rsidP="006838FB">
            <w:pPr>
              <w:rPr>
                <w:rFonts w:ascii="Aptos" w:hAnsi="Aptos" w:cs="Arial"/>
                <w:sz w:val="20"/>
                <w:szCs w:val="20"/>
              </w:rPr>
            </w:pPr>
            <w:r w:rsidRPr="008644C9">
              <w:rPr>
                <w:rFonts w:ascii="Aptos" w:hAnsi="Aptos" w:cs="Arial"/>
                <w:sz w:val="20"/>
                <w:szCs w:val="20"/>
              </w:rPr>
              <w:t>6-6.5</w:t>
            </w:r>
          </w:p>
        </w:tc>
        <w:tc>
          <w:tcPr>
            <w:tcW w:w="535" w:type="pct"/>
            <w:shd w:val="clear" w:color="auto" w:fill="auto"/>
            <w:vAlign w:val="center"/>
          </w:tcPr>
          <w:p w14:paraId="1CCF0C8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4E21916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78D50DB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207CF144"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74407CDD"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FFFF99"/>
            <w:vAlign w:val="center"/>
          </w:tcPr>
          <w:p w14:paraId="69032F35"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4EA72E" w:themeFill="accent6"/>
            <w:vAlign w:val="center"/>
          </w:tcPr>
          <w:p w14:paraId="3A36E71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19 (4.2%)</w:t>
            </w:r>
          </w:p>
        </w:tc>
        <w:tc>
          <w:tcPr>
            <w:tcW w:w="536" w:type="pct"/>
            <w:shd w:val="clear" w:color="auto" w:fill="FFFF99"/>
            <w:vAlign w:val="center"/>
          </w:tcPr>
          <w:p w14:paraId="674C00DF"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r>
      <w:tr w:rsidR="008D3B16" w:rsidRPr="008644C9" w14:paraId="75A6209C" w14:textId="77777777" w:rsidTr="006838FB">
        <w:trPr>
          <w:cantSplit/>
        </w:trPr>
        <w:tc>
          <w:tcPr>
            <w:tcW w:w="713" w:type="pct"/>
            <w:shd w:val="clear" w:color="auto" w:fill="auto"/>
          </w:tcPr>
          <w:p w14:paraId="104FEA67" w14:textId="77777777" w:rsidR="008D3B16" w:rsidRPr="008644C9" w:rsidRDefault="008D3B16" w:rsidP="006838FB">
            <w:pPr>
              <w:rPr>
                <w:rFonts w:ascii="Aptos" w:hAnsi="Aptos" w:cs="Arial"/>
                <w:sz w:val="20"/>
                <w:szCs w:val="20"/>
              </w:rPr>
            </w:pPr>
            <w:r w:rsidRPr="008644C9">
              <w:rPr>
                <w:rFonts w:ascii="Aptos" w:hAnsi="Aptos" w:cs="Arial"/>
                <w:sz w:val="20"/>
                <w:szCs w:val="20"/>
              </w:rPr>
              <w:t xml:space="preserve">UM eCQM </w:t>
            </w:r>
          </w:p>
          <w:p w14:paraId="64E03C92" w14:textId="77777777" w:rsidR="008D3B16" w:rsidRPr="008644C9" w:rsidRDefault="008D3B16" w:rsidP="006838FB">
            <w:pPr>
              <w:rPr>
                <w:rFonts w:ascii="Aptos" w:hAnsi="Aptos" w:cs="Arial"/>
                <w:sz w:val="20"/>
                <w:szCs w:val="20"/>
              </w:rPr>
            </w:pPr>
            <w:r w:rsidRPr="008644C9">
              <w:rPr>
                <w:rFonts w:ascii="Aptos" w:hAnsi="Aptos" w:cs="Arial"/>
                <w:sz w:val="20"/>
                <w:szCs w:val="20"/>
              </w:rPr>
              <w:t>&gt;6.5</w:t>
            </w:r>
          </w:p>
        </w:tc>
        <w:tc>
          <w:tcPr>
            <w:tcW w:w="535" w:type="pct"/>
            <w:shd w:val="clear" w:color="auto" w:fill="auto"/>
            <w:vAlign w:val="center"/>
          </w:tcPr>
          <w:p w14:paraId="09808E0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 (0.7%)</w:t>
            </w:r>
          </w:p>
        </w:tc>
        <w:tc>
          <w:tcPr>
            <w:tcW w:w="536" w:type="pct"/>
            <w:shd w:val="clear" w:color="auto" w:fill="auto"/>
            <w:vAlign w:val="center"/>
          </w:tcPr>
          <w:p w14:paraId="23D44B20"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2252DC26"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5FD46942"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auto"/>
            <w:vAlign w:val="center"/>
          </w:tcPr>
          <w:p w14:paraId="72D6DF71"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auto"/>
            <w:vAlign w:val="center"/>
          </w:tcPr>
          <w:p w14:paraId="3846E36B"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1 (0.2%)</w:t>
            </w:r>
          </w:p>
        </w:tc>
        <w:tc>
          <w:tcPr>
            <w:tcW w:w="536" w:type="pct"/>
            <w:shd w:val="clear" w:color="auto" w:fill="FFFF99"/>
            <w:vAlign w:val="center"/>
          </w:tcPr>
          <w:p w14:paraId="128F52F8"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0</w:t>
            </w:r>
          </w:p>
        </w:tc>
        <w:tc>
          <w:tcPr>
            <w:tcW w:w="536" w:type="pct"/>
            <w:shd w:val="clear" w:color="auto" w:fill="4EA72E" w:themeFill="accent6"/>
            <w:vAlign w:val="center"/>
          </w:tcPr>
          <w:p w14:paraId="1F6EB86E" w14:textId="77777777" w:rsidR="008D3B16" w:rsidRPr="008644C9" w:rsidRDefault="008D3B16" w:rsidP="006838FB">
            <w:pPr>
              <w:jc w:val="center"/>
              <w:rPr>
                <w:rFonts w:ascii="Aptos" w:hAnsi="Aptos" w:cs="Arial"/>
                <w:sz w:val="20"/>
                <w:szCs w:val="20"/>
              </w:rPr>
            </w:pPr>
            <w:r w:rsidRPr="008644C9">
              <w:rPr>
                <w:rFonts w:ascii="Aptos" w:hAnsi="Aptos" w:cs="Arial"/>
                <w:sz w:val="20"/>
                <w:szCs w:val="20"/>
              </w:rPr>
              <w:t>32 (7.0%)</w:t>
            </w:r>
          </w:p>
        </w:tc>
      </w:tr>
    </w:tbl>
    <w:p w14:paraId="013DF9E9" w14:textId="77777777" w:rsidR="008D3B16" w:rsidRPr="008644C9" w:rsidRDefault="008D3B16" w:rsidP="008D3B16">
      <w:pPr>
        <w:spacing w:before="120" w:line="264" w:lineRule="auto"/>
        <w:rPr>
          <w:rFonts w:ascii="Aptos" w:hAnsi="Aptos" w:cs="Arial"/>
          <w:sz w:val="18"/>
          <w:szCs w:val="18"/>
        </w:rPr>
      </w:pPr>
      <w:r w:rsidRPr="008644C9">
        <w:rPr>
          <w:rFonts w:ascii="Aptos" w:hAnsi="Aptos" w:cs="Arial"/>
          <w:sz w:val="18"/>
          <w:szCs w:val="18"/>
        </w:rPr>
        <w:t xml:space="preserve">427/458 (93.2%) in green were accurate within a ½ day; </w:t>
      </w:r>
      <w:r w:rsidRPr="008644C9">
        <w:rPr>
          <w:rFonts w:ascii="Aptos" w:hAnsi="Aptos" w:cs="Arial"/>
          <w:sz w:val="20"/>
          <w:szCs w:val="20"/>
        </w:rPr>
        <w:t xml:space="preserve">435/458 (95.0%) </w:t>
      </w:r>
      <w:r w:rsidRPr="008644C9">
        <w:rPr>
          <w:rFonts w:ascii="Aptos" w:hAnsi="Aptos" w:cs="Arial"/>
          <w:sz w:val="18"/>
          <w:szCs w:val="18"/>
        </w:rPr>
        <w:t>green/yellow were accurate within 1.5 days</w:t>
      </w:r>
    </w:p>
    <w:p w14:paraId="41A90F39" w14:textId="77777777" w:rsidR="008D3B16" w:rsidRPr="008644C9" w:rsidRDefault="008D3B16" w:rsidP="008D3B16">
      <w:pPr>
        <w:spacing w:line="264" w:lineRule="auto"/>
        <w:rPr>
          <w:rFonts w:ascii="Aptos" w:hAnsi="Aptos" w:cs="Arial"/>
          <w:sz w:val="18"/>
          <w:szCs w:val="18"/>
        </w:rPr>
      </w:pPr>
      <w:bookmarkStart w:id="11" w:name="_Hlk181282620"/>
      <w:r w:rsidRPr="008644C9">
        <w:rPr>
          <w:rFonts w:ascii="Aptos" w:hAnsi="Aptos" w:cs="Arial"/>
          <w:sz w:val="18"/>
          <w:szCs w:val="18"/>
        </w:rPr>
        <w:t xml:space="preserve">Abbreviations: CAP, community-acquired pneumonia; UM, University of Michigan; HMS, Michigan Hospital Medicine Safety Consortium </w:t>
      </w:r>
    </w:p>
    <w:bookmarkEnd w:id="11"/>
    <w:p w14:paraId="0DB9E4AA" w14:textId="77777777" w:rsidR="008D3B16" w:rsidRPr="008644C9" w:rsidRDefault="008D3B16" w:rsidP="008D3B16">
      <w:pPr>
        <w:pStyle w:val="BodyText"/>
        <w:spacing w:after="120"/>
        <w:rPr>
          <w:rFonts w:ascii="Aptos" w:hAnsi="Aptos"/>
          <w:b/>
          <w:bCs/>
          <w:sz w:val="22"/>
          <w:szCs w:val="22"/>
        </w:rPr>
      </w:pPr>
    </w:p>
    <w:p w14:paraId="7A44B1B5" w14:textId="77777777" w:rsidR="00B13EB2" w:rsidRDefault="00B13EB2" w:rsidP="008D3B16">
      <w:pPr>
        <w:spacing w:after="160" w:line="278" w:lineRule="auto"/>
        <w:rPr>
          <w:rFonts w:ascii="Arial" w:hAnsi="Arial" w:cs="Arial"/>
          <w:b/>
          <w:bCs/>
          <w:sz w:val="22"/>
          <w:szCs w:val="22"/>
        </w:rPr>
        <w:sectPr w:rsidR="00B13EB2" w:rsidSect="00427F2B">
          <w:pgSz w:w="12240" w:h="15840"/>
          <w:pgMar w:top="720" w:right="720" w:bottom="720" w:left="720" w:header="720" w:footer="720" w:gutter="0"/>
          <w:cols w:space="720"/>
          <w:docGrid w:linePitch="360"/>
        </w:sectPr>
      </w:pPr>
    </w:p>
    <w:p w14:paraId="11E918EE" w14:textId="77777777" w:rsidR="008D3B16" w:rsidRPr="00CE5FBD" w:rsidRDefault="008D3B16" w:rsidP="008D3B16">
      <w:pPr>
        <w:spacing w:after="160" w:line="278" w:lineRule="auto"/>
        <w:rPr>
          <w:rFonts w:cs="Arial"/>
          <w:sz w:val="22"/>
          <w:szCs w:val="22"/>
        </w:rPr>
      </w:pPr>
      <w:r w:rsidRPr="00CE5FBD">
        <w:rPr>
          <w:rFonts w:cs="Arial"/>
          <w:b/>
          <w:bCs/>
          <w:sz w:val="22"/>
          <w:szCs w:val="22"/>
        </w:rPr>
        <w:lastRenderedPageBreak/>
        <w:t xml:space="preserve">Table </w:t>
      </w:r>
      <w:r w:rsidRPr="008644C9">
        <w:rPr>
          <w:rFonts w:cs="Arial"/>
          <w:b/>
          <w:bCs/>
          <w:sz w:val="22"/>
          <w:szCs w:val="22"/>
        </w:rPr>
        <w:t>8</w:t>
      </w:r>
      <w:r w:rsidRPr="00CE5FBD">
        <w:rPr>
          <w:rFonts w:cs="Arial"/>
          <w:b/>
          <w:bCs/>
          <w:sz w:val="22"/>
          <w:szCs w:val="22"/>
        </w:rPr>
        <w:t>.</w:t>
      </w:r>
      <w:r w:rsidRPr="00CE5FBD">
        <w:rPr>
          <w:rFonts w:cs="Arial"/>
          <w:sz w:val="22"/>
          <w:szCs w:val="22"/>
        </w:rPr>
        <w:t xml:space="preserve"> Summary of validity testing during measure development</w:t>
      </w:r>
    </w:p>
    <w:tbl>
      <w:tblPr>
        <w:tblStyle w:val="TableGrid"/>
        <w:tblW w:w="0" w:type="auto"/>
        <w:tblLook w:val="04A0" w:firstRow="1" w:lastRow="0" w:firstColumn="1" w:lastColumn="0" w:noHBand="0" w:noVBand="1"/>
        <w:tblCaption w:val="Table 12. Summary of validity testing during measure development"/>
        <w:tblDescription w:val="This table lists the types of validity testing performed during measure development (e.g., face validity, encounter-level validity). For each validity test, there is a description of how it was performed, and the results and interpretation. In summary, the measure has high validity."/>
      </w:tblPr>
      <w:tblGrid>
        <w:gridCol w:w="2167"/>
        <w:gridCol w:w="2868"/>
        <w:gridCol w:w="6480"/>
        <w:gridCol w:w="2430"/>
      </w:tblGrid>
      <w:tr w:rsidR="008D3B16" w:rsidRPr="00CE5FBD" w14:paraId="0EF7C3A6" w14:textId="77777777" w:rsidTr="006106EC">
        <w:trPr>
          <w:cantSplit/>
          <w:tblHeader/>
        </w:trPr>
        <w:tc>
          <w:tcPr>
            <w:tcW w:w="2167" w:type="dxa"/>
            <w:vAlign w:val="center"/>
          </w:tcPr>
          <w:p w14:paraId="366E175C"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b/>
                <w:bCs/>
                <w:kern w:val="0"/>
                <w:sz w:val="18"/>
                <w:szCs w:val="18"/>
                <w14:ligatures w14:val="none"/>
              </w:rPr>
              <w:t>Type of Validity</w:t>
            </w:r>
          </w:p>
        </w:tc>
        <w:tc>
          <w:tcPr>
            <w:tcW w:w="2868" w:type="dxa"/>
            <w:vAlign w:val="center"/>
          </w:tcPr>
          <w:p w14:paraId="38830767" w14:textId="77777777" w:rsidR="008D3B16" w:rsidRPr="00CE5FBD" w:rsidRDefault="008D3B16" w:rsidP="006838FB">
            <w:pPr>
              <w:rPr>
                <w:rFonts w:ascii="Aptos" w:eastAsia="Arial" w:hAnsi="Aptos" w:cs="Arial"/>
                <w:kern w:val="0"/>
                <w:sz w:val="18"/>
                <w:szCs w:val="18"/>
                <w14:ligatures w14:val="none"/>
              </w:rPr>
            </w:pPr>
            <w:r w:rsidRPr="00CE5FBD">
              <w:rPr>
                <w:rFonts w:ascii="Aptos" w:hAnsi="Aptos"/>
                <w:b/>
                <w:bCs/>
                <w:sz w:val="18"/>
                <w:szCs w:val="18"/>
              </w:rPr>
              <w:t>Description</w:t>
            </w:r>
          </w:p>
        </w:tc>
        <w:tc>
          <w:tcPr>
            <w:tcW w:w="6480" w:type="dxa"/>
            <w:vAlign w:val="center"/>
          </w:tcPr>
          <w:p w14:paraId="15BFD23D" w14:textId="77777777" w:rsidR="008D3B16" w:rsidRPr="00CE5FBD" w:rsidRDefault="008D3B16" w:rsidP="006838FB">
            <w:pPr>
              <w:rPr>
                <w:rFonts w:ascii="Aptos" w:eastAsia="Arial" w:hAnsi="Aptos" w:cs="Arial"/>
                <w:kern w:val="0"/>
                <w:sz w:val="18"/>
                <w:szCs w:val="18"/>
                <w14:ligatures w14:val="none"/>
              </w:rPr>
            </w:pPr>
            <w:r w:rsidRPr="00CE5FBD">
              <w:rPr>
                <w:rFonts w:ascii="Aptos" w:hAnsi="Aptos"/>
                <w:b/>
                <w:bCs/>
                <w:sz w:val="18"/>
                <w:szCs w:val="18"/>
              </w:rPr>
              <w:t>Results</w:t>
            </w:r>
          </w:p>
        </w:tc>
        <w:tc>
          <w:tcPr>
            <w:tcW w:w="2430" w:type="dxa"/>
            <w:vAlign w:val="center"/>
          </w:tcPr>
          <w:p w14:paraId="7AF11D23"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b/>
                <w:bCs/>
                <w:kern w:val="0"/>
                <w:sz w:val="18"/>
                <w:szCs w:val="18"/>
                <w14:ligatures w14:val="none"/>
              </w:rPr>
              <w:t>Interpretation</w:t>
            </w:r>
          </w:p>
        </w:tc>
      </w:tr>
      <w:tr w:rsidR="008D3B16" w:rsidRPr="00CE5FBD" w14:paraId="2AC766A3" w14:textId="77777777" w:rsidTr="006106EC">
        <w:trPr>
          <w:cantSplit/>
        </w:trPr>
        <w:tc>
          <w:tcPr>
            <w:tcW w:w="2167" w:type="dxa"/>
            <w:vAlign w:val="center"/>
          </w:tcPr>
          <w:p w14:paraId="52197B90"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b/>
                <w:bCs/>
                <w:kern w:val="0"/>
                <w:sz w:val="18"/>
                <w:szCs w:val="18"/>
                <w14:ligatures w14:val="none"/>
              </w:rPr>
              <w:t>During Measure Development</w:t>
            </w:r>
          </w:p>
        </w:tc>
        <w:tc>
          <w:tcPr>
            <w:tcW w:w="2868" w:type="dxa"/>
            <w:vAlign w:val="center"/>
          </w:tcPr>
          <w:p w14:paraId="36A62F5C" w14:textId="77777777" w:rsidR="008D3B16" w:rsidRPr="00CE5FBD" w:rsidRDefault="008D3B16" w:rsidP="006838FB">
            <w:pPr>
              <w:rPr>
                <w:rFonts w:ascii="Aptos" w:eastAsia="Arial" w:hAnsi="Aptos" w:cs="Arial"/>
                <w:kern w:val="0"/>
                <w:sz w:val="18"/>
                <w:szCs w:val="18"/>
                <w14:ligatures w14:val="none"/>
              </w:rPr>
            </w:pPr>
            <w:r w:rsidRPr="00CE5FBD">
              <w:rPr>
                <w:rFonts w:ascii="Aptos" w:hAnsi="Aptos"/>
                <w:sz w:val="18"/>
                <w:szCs w:val="18"/>
              </w:rPr>
              <w:t>*</w:t>
            </w:r>
          </w:p>
        </w:tc>
        <w:tc>
          <w:tcPr>
            <w:tcW w:w="6480" w:type="dxa"/>
            <w:vAlign w:val="center"/>
          </w:tcPr>
          <w:p w14:paraId="2073B36A" w14:textId="77777777" w:rsidR="008D3B16" w:rsidRPr="00CE5FBD" w:rsidRDefault="008D3B16" w:rsidP="006838FB">
            <w:pPr>
              <w:rPr>
                <w:rFonts w:ascii="Aptos" w:eastAsia="Arial" w:hAnsi="Aptos" w:cs="Arial"/>
                <w:kern w:val="0"/>
                <w:sz w:val="18"/>
                <w:szCs w:val="18"/>
                <w14:ligatures w14:val="none"/>
              </w:rPr>
            </w:pPr>
            <w:r w:rsidRPr="00CE5FBD">
              <w:rPr>
                <w:rFonts w:ascii="Aptos" w:hAnsi="Aptos"/>
                <w:sz w:val="18"/>
                <w:szCs w:val="18"/>
              </w:rPr>
              <w:t>*</w:t>
            </w:r>
          </w:p>
        </w:tc>
        <w:tc>
          <w:tcPr>
            <w:tcW w:w="2430" w:type="dxa"/>
            <w:vAlign w:val="center"/>
          </w:tcPr>
          <w:p w14:paraId="11B6BEEE"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w:t>
            </w:r>
          </w:p>
        </w:tc>
      </w:tr>
      <w:tr w:rsidR="008D3B16" w:rsidRPr="00CE5FBD" w14:paraId="5519D03E" w14:textId="77777777" w:rsidTr="006106EC">
        <w:trPr>
          <w:cantSplit/>
        </w:trPr>
        <w:tc>
          <w:tcPr>
            <w:tcW w:w="2167" w:type="dxa"/>
            <w:vAlign w:val="center"/>
          </w:tcPr>
          <w:p w14:paraId="3EB93B34"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A. Face Validity- National Guidelines</w:t>
            </w:r>
          </w:p>
        </w:tc>
        <w:tc>
          <w:tcPr>
            <w:tcW w:w="2868" w:type="dxa"/>
            <w:vAlign w:val="center"/>
          </w:tcPr>
          <w:p w14:paraId="63211860" w14:textId="77777777" w:rsidR="008D3B16" w:rsidRPr="00CE5FBD" w:rsidRDefault="008D3B16" w:rsidP="006838FB">
            <w:pPr>
              <w:rPr>
                <w:rFonts w:ascii="Aptos" w:hAnsi="Aptos"/>
                <w:sz w:val="18"/>
                <w:szCs w:val="18"/>
              </w:rPr>
            </w:pPr>
            <w:r w:rsidRPr="00CE5FBD">
              <w:rPr>
                <w:rFonts w:ascii="Aptos" w:hAnsi="Aptos"/>
                <w:sz w:val="18"/>
                <w:szCs w:val="18"/>
              </w:rPr>
              <w:t>Based on National Guidelines and literature review including RCTs</w:t>
            </w:r>
          </w:p>
        </w:tc>
        <w:tc>
          <w:tcPr>
            <w:tcW w:w="6480" w:type="dxa"/>
            <w:vAlign w:val="center"/>
          </w:tcPr>
          <w:p w14:paraId="07B0F697" w14:textId="148665A9" w:rsidR="008D3B16" w:rsidRPr="00CE5FBD" w:rsidRDefault="008D3B16" w:rsidP="006838FB">
            <w:pPr>
              <w:rPr>
                <w:rFonts w:ascii="Aptos" w:hAnsi="Aptos"/>
                <w:sz w:val="18"/>
                <w:szCs w:val="18"/>
                <w:vertAlign w:val="superscript"/>
              </w:rPr>
            </w:pPr>
            <w:r w:rsidRPr="00CE5FBD">
              <w:rPr>
                <w:rFonts w:ascii="Aptos" w:hAnsi="Aptos"/>
                <w:sz w:val="18"/>
                <w:szCs w:val="18"/>
              </w:rPr>
              <w:t>ATS/IDSA CAP Guidelines</w:t>
            </w:r>
            <w:r w:rsidR="008B5AB8">
              <w:rPr>
                <w:rFonts w:ascii="Aptos" w:hAnsi="Aptos"/>
                <w:sz w:val="18"/>
                <w:szCs w:val="18"/>
              </w:rPr>
              <w:t xml:space="preserve"> [25]</w:t>
            </w:r>
          </w:p>
          <w:p w14:paraId="2AF0BEEC" w14:textId="38D2BB71" w:rsidR="008D3B16" w:rsidRPr="00CE5FBD" w:rsidRDefault="008D3B16" w:rsidP="006838FB">
            <w:pPr>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Dinh and Uranga RCTs</w:t>
            </w:r>
            <w:r w:rsidR="008B5AB8">
              <w:rPr>
                <w:rFonts w:ascii="Aptos" w:eastAsia="Arial" w:hAnsi="Aptos" w:cs="Arial"/>
                <w:kern w:val="0"/>
                <w:sz w:val="18"/>
                <w:szCs w:val="18"/>
                <w14:ligatures w14:val="none"/>
              </w:rPr>
              <w:t xml:space="preserve"> [9,11]</w:t>
            </w:r>
          </w:p>
        </w:tc>
        <w:tc>
          <w:tcPr>
            <w:tcW w:w="2430" w:type="dxa"/>
            <w:vAlign w:val="center"/>
          </w:tcPr>
          <w:p w14:paraId="70D922D2"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Initial basis for definitions</w:t>
            </w:r>
          </w:p>
        </w:tc>
      </w:tr>
      <w:tr w:rsidR="008D3B16" w:rsidRPr="00CE5FBD" w14:paraId="37215BD4" w14:textId="77777777" w:rsidTr="006106EC">
        <w:trPr>
          <w:cantSplit/>
        </w:trPr>
        <w:tc>
          <w:tcPr>
            <w:tcW w:w="2167" w:type="dxa"/>
            <w:vAlign w:val="center"/>
          </w:tcPr>
          <w:p w14:paraId="5A56C166"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B. Face Validity- Expert Feedback</w:t>
            </w:r>
          </w:p>
        </w:tc>
        <w:tc>
          <w:tcPr>
            <w:tcW w:w="2868" w:type="dxa"/>
            <w:vAlign w:val="center"/>
          </w:tcPr>
          <w:p w14:paraId="4D464EF4" w14:textId="77777777" w:rsidR="008D3B16" w:rsidRPr="00CE5FBD" w:rsidRDefault="008D3B16" w:rsidP="006838FB">
            <w:pPr>
              <w:rPr>
                <w:rFonts w:ascii="Aptos" w:eastAsia="Arial" w:hAnsi="Aptos" w:cs="Arial"/>
                <w:kern w:val="0"/>
                <w:sz w:val="18"/>
                <w:szCs w:val="18"/>
                <w14:ligatures w14:val="none"/>
              </w:rPr>
            </w:pPr>
            <w:r w:rsidRPr="00CE5FBD">
              <w:rPr>
                <w:rFonts w:ascii="Aptos" w:hAnsi="Aptos"/>
                <w:sz w:val="18"/>
                <w:szCs w:val="18"/>
              </w:rPr>
              <w:t>Data Design and Publications Committee (HMS)</w:t>
            </w:r>
          </w:p>
        </w:tc>
        <w:tc>
          <w:tcPr>
            <w:tcW w:w="6480" w:type="dxa"/>
            <w:vAlign w:val="center"/>
          </w:tcPr>
          <w:p w14:paraId="1D4FCBDF" w14:textId="77777777" w:rsidR="008D3B16" w:rsidRPr="00CE5FBD" w:rsidRDefault="008D3B16" w:rsidP="006838FB">
            <w:pPr>
              <w:rPr>
                <w:rFonts w:ascii="Aptos" w:eastAsia="Arial" w:hAnsi="Aptos" w:cs="Arial"/>
                <w:kern w:val="0"/>
                <w:sz w:val="18"/>
                <w:szCs w:val="18"/>
                <w14:ligatures w14:val="none"/>
              </w:rPr>
            </w:pPr>
            <w:r w:rsidRPr="00CE5FBD">
              <w:rPr>
                <w:rFonts w:ascii="Aptos" w:hAnsi="Aptos"/>
                <w:sz w:val="18"/>
                <w:szCs w:val="18"/>
              </w:rPr>
              <w:t>Refined inclusion/exclusion criteria and measure specifications to current form</w:t>
            </w:r>
          </w:p>
        </w:tc>
        <w:tc>
          <w:tcPr>
            <w:tcW w:w="2430" w:type="dxa"/>
            <w:vAlign w:val="center"/>
          </w:tcPr>
          <w:p w14:paraId="194CECB3"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Measure refinement to current measure specifications</w:t>
            </w:r>
          </w:p>
        </w:tc>
      </w:tr>
      <w:tr w:rsidR="008D3B16" w:rsidRPr="00CE5FBD" w14:paraId="5FAF98CE" w14:textId="77777777" w:rsidTr="006106EC">
        <w:trPr>
          <w:cantSplit/>
        </w:trPr>
        <w:tc>
          <w:tcPr>
            <w:tcW w:w="2167" w:type="dxa"/>
            <w:vAlign w:val="center"/>
          </w:tcPr>
          <w:p w14:paraId="15CCB4D3" w14:textId="77777777" w:rsidR="008D3B16" w:rsidRPr="00CE5FBD" w:rsidRDefault="008D3B16" w:rsidP="006838FB">
            <w:pPr>
              <w:widowControl w:val="0"/>
              <w:autoSpaceDE w:val="0"/>
              <w:autoSpaceDN w:val="0"/>
              <w:spacing w:after="120"/>
              <w:rPr>
                <w:rFonts w:ascii="Aptos" w:eastAsia="Arial" w:hAnsi="Aptos" w:cs="Arial"/>
                <w:b/>
                <w:bCs/>
                <w:kern w:val="0"/>
                <w:sz w:val="18"/>
                <w:szCs w:val="18"/>
                <w14:ligatures w14:val="none"/>
              </w:rPr>
            </w:pPr>
            <w:r w:rsidRPr="00CE5FBD">
              <w:rPr>
                <w:rFonts w:ascii="Aptos" w:eastAsia="Arial" w:hAnsi="Aptos" w:cs="Arial"/>
                <w:b/>
                <w:bCs/>
                <w:kern w:val="0"/>
                <w:sz w:val="18"/>
                <w:szCs w:val="18"/>
                <w14:ligatures w14:val="none"/>
              </w:rPr>
              <w:t>On Final Measure</w:t>
            </w:r>
          </w:p>
        </w:tc>
        <w:tc>
          <w:tcPr>
            <w:tcW w:w="2868" w:type="dxa"/>
            <w:vAlign w:val="center"/>
          </w:tcPr>
          <w:p w14:paraId="6941D033" w14:textId="77777777" w:rsidR="008D3B16" w:rsidRPr="00CE5FBD" w:rsidRDefault="008D3B16" w:rsidP="006838FB">
            <w:pPr>
              <w:rPr>
                <w:rFonts w:ascii="Aptos" w:hAnsi="Aptos"/>
                <w:sz w:val="18"/>
                <w:szCs w:val="18"/>
              </w:rPr>
            </w:pPr>
            <w:r w:rsidRPr="00CE5FBD">
              <w:rPr>
                <w:rFonts w:ascii="Aptos" w:hAnsi="Aptos"/>
                <w:sz w:val="18"/>
                <w:szCs w:val="18"/>
              </w:rPr>
              <w:t>*</w:t>
            </w:r>
          </w:p>
        </w:tc>
        <w:tc>
          <w:tcPr>
            <w:tcW w:w="6480" w:type="dxa"/>
            <w:vAlign w:val="center"/>
          </w:tcPr>
          <w:p w14:paraId="1CDD34A8" w14:textId="77777777" w:rsidR="008D3B16" w:rsidRPr="00CE5FBD" w:rsidRDefault="008D3B16" w:rsidP="006838FB">
            <w:pPr>
              <w:rPr>
                <w:rFonts w:ascii="Aptos" w:hAnsi="Aptos"/>
                <w:sz w:val="18"/>
                <w:szCs w:val="18"/>
              </w:rPr>
            </w:pPr>
            <w:r w:rsidRPr="00CE5FBD">
              <w:rPr>
                <w:rFonts w:ascii="Aptos" w:hAnsi="Aptos"/>
                <w:sz w:val="18"/>
                <w:szCs w:val="18"/>
              </w:rPr>
              <w:t>*</w:t>
            </w:r>
          </w:p>
        </w:tc>
        <w:tc>
          <w:tcPr>
            <w:tcW w:w="2430" w:type="dxa"/>
            <w:vAlign w:val="center"/>
          </w:tcPr>
          <w:p w14:paraId="6D39DBBB"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w:t>
            </w:r>
          </w:p>
        </w:tc>
      </w:tr>
      <w:tr w:rsidR="008D3B16" w:rsidRPr="00CE5FBD" w14:paraId="120C9958" w14:textId="77777777" w:rsidTr="006106EC">
        <w:trPr>
          <w:cantSplit/>
        </w:trPr>
        <w:tc>
          <w:tcPr>
            <w:tcW w:w="2167" w:type="dxa"/>
            <w:vAlign w:val="center"/>
          </w:tcPr>
          <w:p w14:paraId="6E860B0C" w14:textId="77777777" w:rsidR="008D3B16" w:rsidRPr="00CE5FBD" w:rsidRDefault="008D3B16" w:rsidP="006838FB">
            <w:pPr>
              <w:widowControl w:val="0"/>
              <w:autoSpaceDE w:val="0"/>
              <w:autoSpaceDN w:val="0"/>
              <w:spacing w:after="120"/>
              <w:rPr>
                <w:rFonts w:ascii="Aptos" w:eastAsia="Arial" w:hAnsi="Aptos" w:cs="Arial"/>
                <w:color w:val="000000"/>
                <w:kern w:val="0"/>
                <w:sz w:val="18"/>
                <w:szCs w:val="18"/>
                <w14:ligatures w14:val="none"/>
              </w:rPr>
            </w:pPr>
            <w:r w:rsidRPr="00CE5FBD">
              <w:rPr>
                <w:rFonts w:ascii="Aptos" w:eastAsia="Arial" w:hAnsi="Aptos" w:cs="Arial"/>
                <w:kern w:val="0"/>
                <w:sz w:val="18"/>
                <w:szCs w:val="18"/>
                <w14:ligatures w14:val="none"/>
              </w:rPr>
              <w:t>C. Encounter-level Validity: Comparison of eCQM duration results with Case Review</w:t>
            </w:r>
          </w:p>
        </w:tc>
        <w:tc>
          <w:tcPr>
            <w:tcW w:w="2868" w:type="dxa"/>
            <w:vAlign w:val="center"/>
          </w:tcPr>
          <w:p w14:paraId="2762C100" w14:textId="77777777" w:rsidR="008D3B16" w:rsidRPr="00CE5FBD" w:rsidRDefault="008D3B16" w:rsidP="006838FB">
            <w:pPr>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Compared 450 patients with HMS chart review data from the University of Michigan with eCQM assessment in the University of Michigan.</w:t>
            </w:r>
          </w:p>
          <w:p w14:paraId="1292D75F" w14:textId="77777777" w:rsidR="008D3B16" w:rsidRPr="00CE5FBD" w:rsidRDefault="008D3B16" w:rsidP="006838FB">
            <w:pPr>
              <w:rPr>
                <w:rFonts w:ascii="Aptos" w:eastAsia="Arial" w:hAnsi="Aptos" w:cs="Arial"/>
                <w:kern w:val="0"/>
                <w:sz w:val="18"/>
                <w:szCs w:val="18"/>
                <w14:ligatures w14:val="none"/>
              </w:rPr>
            </w:pPr>
          </w:p>
        </w:tc>
        <w:tc>
          <w:tcPr>
            <w:tcW w:w="6480" w:type="dxa"/>
            <w:vAlign w:val="center"/>
          </w:tcPr>
          <w:p w14:paraId="265D1E19" w14:textId="77777777" w:rsidR="008D3B16" w:rsidRPr="00CE5FBD" w:rsidRDefault="008D3B16" w:rsidP="006838FB">
            <w:pPr>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91.3% (411/450) had an accurate antibiotic duration with a ½ day</w:t>
            </w:r>
          </w:p>
          <w:p w14:paraId="5D585C9A" w14:textId="77777777" w:rsidR="008D3B16" w:rsidRPr="00CE5FBD" w:rsidRDefault="008D3B16" w:rsidP="006838FB">
            <w:pPr>
              <w:rPr>
                <w:rFonts w:ascii="Aptos" w:eastAsia="Arial" w:hAnsi="Aptos" w:cs="Arial"/>
                <w:kern w:val="0"/>
                <w:sz w:val="18"/>
                <w:szCs w:val="18"/>
                <w14:ligatures w14:val="none"/>
              </w:rPr>
            </w:pPr>
          </w:p>
          <w:p w14:paraId="21E570A4" w14:textId="77777777" w:rsidR="008D3B16" w:rsidRPr="00CE5FBD" w:rsidRDefault="008D3B16" w:rsidP="006838FB">
            <w:pPr>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96.4% (434/450) were accurate within 1.5 days</w:t>
            </w:r>
          </w:p>
        </w:tc>
        <w:tc>
          <w:tcPr>
            <w:tcW w:w="2430" w:type="dxa"/>
            <w:vAlign w:val="center"/>
          </w:tcPr>
          <w:p w14:paraId="7A1EFE3E" w14:textId="77777777" w:rsidR="008D3B16" w:rsidRPr="00CE5FBD" w:rsidRDefault="008D3B16" w:rsidP="006838FB">
            <w:pPr>
              <w:widowControl w:val="0"/>
              <w:autoSpaceDE w:val="0"/>
              <w:autoSpaceDN w:val="0"/>
              <w:spacing w:after="120"/>
              <w:rPr>
                <w:rFonts w:ascii="Aptos" w:eastAsia="Arial" w:hAnsi="Aptos" w:cs="Arial"/>
                <w:color w:val="000000"/>
                <w:kern w:val="0"/>
                <w:sz w:val="18"/>
                <w:szCs w:val="18"/>
                <w14:ligatures w14:val="none"/>
              </w:rPr>
            </w:pPr>
            <w:r w:rsidRPr="00CE5FBD">
              <w:rPr>
                <w:rFonts w:ascii="Aptos" w:eastAsia="Arial" w:hAnsi="Aptos" w:cs="Arial"/>
                <w:kern w:val="0"/>
                <w:sz w:val="18"/>
                <w:szCs w:val="18"/>
                <w14:ligatures w14:val="none"/>
              </w:rPr>
              <w:t xml:space="preserve">Substantial agreement in duration though </w:t>
            </w:r>
            <w:proofErr w:type="gramStart"/>
            <w:r w:rsidRPr="00CE5FBD">
              <w:rPr>
                <w:rFonts w:ascii="Aptos" w:eastAsia="Arial" w:hAnsi="Aptos" w:cs="Arial"/>
                <w:kern w:val="0"/>
                <w:sz w:val="18"/>
                <w:szCs w:val="18"/>
                <w14:ligatures w14:val="none"/>
              </w:rPr>
              <w:t>0.5-1.5 day</w:t>
            </w:r>
            <w:proofErr w:type="gramEnd"/>
            <w:r w:rsidRPr="00CE5FBD">
              <w:rPr>
                <w:rFonts w:ascii="Aptos" w:eastAsia="Arial" w:hAnsi="Aptos" w:cs="Arial"/>
                <w:kern w:val="0"/>
                <w:sz w:val="18"/>
                <w:szCs w:val="18"/>
                <w14:ligatures w14:val="none"/>
              </w:rPr>
              <w:t xml:space="preserve"> errors are common</w:t>
            </w:r>
            <w:r w:rsidRPr="00CE5FBD">
              <w:rPr>
                <w:rFonts w:ascii="Aptos" w:eastAsia="Arial" w:hAnsi="Aptos" w:cs="Arial"/>
                <w:kern w:val="0"/>
                <w:sz w:val="18"/>
                <w:szCs w:val="18"/>
                <w14:ligatures w14:val="none"/>
              </w:rPr>
              <w:sym w:font="Wingdings" w:char="F0E0"/>
            </w:r>
            <w:r w:rsidRPr="00CE5FBD">
              <w:rPr>
                <w:rFonts w:ascii="Aptos" w:eastAsia="Arial" w:hAnsi="Aptos" w:cs="Arial"/>
                <w:kern w:val="0"/>
                <w:sz w:val="18"/>
                <w:szCs w:val="18"/>
                <w14:ligatures w14:val="none"/>
              </w:rPr>
              <w:t xml:space="preserve"> led us to allow a grace period where only ≥7 days is considered excess when guidelines suggest &gt;5 days should be excess</w:t>
            </w:r>
          </w:p>
        </w:tc>
      </w:tr>
      <w:tr w:rsidR="008D3B16" w:rsidRPr="00CE5FBD" w14:paraId="24D0C290" w14:textId="77777777" w:rsidTr="006106EC">
        <w:trPr>
          <w:cantSplit/>
        </w:trPr>
        <w:tc>
          <w:tcPr>
            <w:tcW w:w="2167" w:type="dxa"/>
            <w:vAlign w:val="center"/>
          </w:tcPr>
          <w:p w14:paraId="08639286"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D. Encounter-level Validity: Comparison of eCQM measure results (% with excess duration) with Case Review</w:t>
            </w:r>
          </w:p>
        </w:tc>
        <w:tc>
          <w:tcPr>
            <w:tcW w:w="2868" w:type="dxa"/>
            <w:vAlign w:val="center"/>
          </w:tcPr>
          <w:p w14:paraId="6EF8D214" w14:textId="77777777" w:rsidR="008D3B16" w:rsidRPr="00CE5FBD" w:rsidRDefault="008D3B16" w:rsidP="006838FB">
            <w:pPr>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Compared 450 patients with HMS chart review data from the University of Michigan with eCQM assessment in the University of Michigan.</w:t>
            </w:r>
          </w:p>
          <w:p w14:paraId="5AA03A55" w14:textId="77777777" w:rsidR="008D3B16" w:rsidRPr="00CE5FBD" w:rsidRDefault="008D3B16" w:rsidP="006838FB">
            <w:pPr>
              <w:rPr>
                <w:rFonts w:ascii="Aptos" w:eastAsia="Arial" w:hAnsi="Aptos" w:cs="Arial"/>
                <w:kern w:val="0"/>
                <w:sz w:val="18"/>
                <w:szCs w:val="18"/>
                <w14:ligatures w14:val="none"/>
              </w:rPr>
            </w:pPr>
          </w:p>
          <w:p w14:paraId="4FEAAC77" w14:textId="77777777" w:rsidR="008D3B16" w:rsidRPr="00CE5FBD" w:rsidRDefault="008D3B16" w:rsidP="006838FB">
            <w:pPr>
              <w:rPr>
                <w:rFonts w:ascii="Aptos" w:eastAsia="Arial" w:hAnsi="Aptos" w:cs="Arial"/>
                <w:kern w:val="0"/>
                <w:sz w:val="18"/>
                <w:szCs w:val="18"/>
                <w14:ligatures w14:val="none"/>
              </w:rPr>
            </w:pPr>
          </w:p>
        </w:tc>
        <w:tc>
          <w:tcPr>
            <w:tcW w:w="6480" w:type="dxa"/>
            <w:vAlign w:val="center"/>
          </w:tcPr>
          <w:p w14:paraId="78E7260C" w14:textId="77777777" w:rsidR="008D3B16" w:rsidRPr="00CE5FBD" w:rsidRDefault="008D3B16" w:rsidP="006838FB">
            <w:pPr>
              <w:contextualSpacing/>
              <w:rPr>
                <w:rFonts w:ascii="Aptos" w:hAnsi="Aptos"/>
                <w:sz w:val="18"/>
                <w:szCs w:val="18"/>
              </w:rPr>
            </w:pPr>
            <w:r w:rsidRPr="00CE5FBD">
              <w:rPr>
                <w:rFonts w:ascii="Aptos" w:hAnsi="Aptos"/>
                <w:sz w:val="18"/>
                <w:szCs w:val="18"/>
              </w:rPr>
              <w:t xml:space="preserve">Patients who received ≥7 days total antibiotic duration using HMS definition (chart review; gold standard) and using eCQM definition: n=278 (60.7%) and n=281 (61.4%), respectively. Considering HMS chart review as the gold standard, the sensitivity of the eCQM was </w:t>
            </w:r>
            <w:r w:rsidRPr="00CE5FBD">
              <w:rPr>
                <w:rFonts w:ascii="Aptos" w:hAnsi="Aptos"/>
                <w:b/>
                <w:bCs/>
                <w:sz w:val="18"/>
                <w:szCs w:val="18"/>
              </w:rPr>
              <w:t>96% (268/278)</w:t>
            </w:r>
            <w:r w:rsidRPr="00CE5FBD">
              <w:rPr>
                <w:rFonts w:ascii="Aptos" w:hAnsi="Aptos"/>
                <w:sz w:val="18"/>
                <w:szCs w:val="18"/>
              </w:rPr>
              <w:t xml:space="preserve">, and specificity of the eCQM was </w:t>
            </w:r>
            <w:r w:rsidRPr="00CE5FBD">
              <w:rPr>
                <w:rFonts w:ascii="Aptos" w:hAnsi="Aptos"/>
                <w:b/>
                <w:bCs/>
                <w:sz w:val="18"/>
                <w:szCs w:val="18"/>
              </w:rPr>
              <w:t>93% (167/180</w:t>
            </w:r>
            <w:r w:rsidRPr="00CE5FBD">
              <w:rPr>
                <w:rFonts w:ascii="Aptos" w:hAnsi="Aptos"/>
                <w:sz w:val="18"/>
                <w:szCs w:val="18"/>
              </w:rPr>
              <w:t>).</w:t>
            </w:r>
          </w:p>
          <w:p w14:paraId="56AB8BE0" w14:textId="77777777" w:rsidR="008D3B16" w:rsidRPr="00CE5FBD" w:rsidRDefault="008D3B16" w:rsidP="006838FB">
            <w:pPr>
              <w:contextualSpacing/>
              <w:rPr>
                <w:rFonts w:ascii="Aptos" w:hAnsi="Aptos"/>
                <w:sz w:val="18"/>
                <w:szCs w:val="18"/>
              </w:rPr>
            </w:pPr>
          </w:p>
          <w:p w14:paraId="0E21F169" w14:textId="77777777" w:rsidR="008D3B16" w:rsidRPr="00CE5FBD" w:rsidRDefault="008D3B16" w:rsidP="006838FB">
            <w:pPr>
              <w:contextualSpacing/>
              <w:rPr>
                <w:rFonts w:ascii="Aptos" w:hAnsi="Aptos"/>
                <w:sz w:val="18"/>
                <w:szCs w:val="18"/>
              </w:rPr>
            </w:pPr>
          </w:p>
        </w:tc>
        <w:tc>
          <w:tcPr>
            <w:tcW w:w="2430" w:type="dxa"/>
            <w:vAlign w:val="center"/>
          </w:tcPr>
          <w:p w14:paraId="4737053D"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Measure has high sensitivity and specificity identifying patients with excess (≥7 days) duration compared to chart review.</w:t>
            </w:r>
          </w:p>
        </w:tc>
      </w:tr>
      <w:tr w:rsidR="008D3B16" w:rsidRPr="00CE5FBD" w14:paraId="12C6697D" w14:textId="77777777" w:rsidTr="006106EC">
        <w:trPr>
          <w:cantSplit/>
        </w:trPr>
        <w:tc>
          <w:tcPr>
            <w:tcW w:w="2167" w:type="dxa"/>
            <w:vAlign w:val="center"/>
          </w:tcPr>
          <w:p w14:paraId="77C4DA23"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E. Encounter-level Validity: Critical data element validity</w:t>
            </w:r>
          </w:p>
        </w:tc>
        <w:tc>
          <w:tcPr>
            <w:tcW w:w="2868" w:type="dxa"/>
            <w:vAlign w:val="center"/>
          </w:tcPr>
          <w:p w14:paraId="55F16A06" w14:textId="77777777" w:rsidR="008D3B16" w:rsidRPr="00CE5FBD" w:rsidRDefault="008D3B16" w:rsidP="006838FB">
            <w:pPr>
              <w:contextualSpacing/>
              <w:rPr>
                <w:rFonts w:ascii="Aptos" w:hAnsi="Aptos"/>
                <w:sz w:val="18"/>
                <w:szCs w:val="18"/>
              </w:rPr>
            </w:pPr>
            <w:r w:rsidRPr="00CE5FBD">
              <w:rPr>
                <w:rFonts w:ascii="Aptos" w:eastAsia="Arial" w:hAnsi="Aptos" w:cs="Arial"/>
                <w:kern w:val="0"/>
                <w:sz w:val="18"/>
                <w:szCs w:val="18"/>
                <w14:ligatures w14:val="none"/>
              </w:rPr>
              <w:t xml:space="preserve">Initial exclusions were compared across the </w:t>
            </w:r>
            <w:r w:rsidRPr="00CE5FBD">
              <w:rPr>
                <w:rFonts w:ascii="Aptos" w:hAnsi="Aptos"/>
                <w:sz w:val="18"/>
                <w:szCs w:val="18"/>
              </w:rPr>
              <w:t>University of Michigan, University of Utah, and the VA healthcare systems.</w:t>
            </w:r>
          </w:p>
          <w:p w14:paraId="297D4504" w14:textId="77777777" w:rsidR="008D3B16" w:rsidRPr="00CE5FBD" w:rsidRDefault="008D3B16" w:rsidP="006838FB">
            <w:pPr>
              <w:rPr>
                <w:rFonts w:ascii="Aptos" w:eastAsia="Arial" w:hAnsi="Aptos" w:cs="Arial"/>
                <w:kern w:val="0"/>
                <w:sz w:val="18"/>
                <w:szCs w:val="18"/>
                <w14:ligatures w14:val="none"/>
              </w:rPr>
            </w:pPr>
          </w:p>
          <w:p w14:paraId="45CD8651" w14:textId="452AC02A" w:rsidR="008D3B16" w:rsidRPr="00CE5FBD" w:rsidRDefault="008D3B16" w:rsidP="006838FB">
            <w:pPr>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Compared inclusion/</w:t>
            </w:r>
            <w:r w:rsidR="00EB6910">
              <w:rPr>
                <w:rFonts w:ascii="Aptos" w:eastAsia="Arial" w:hAnsi="Aptos" w:cs="Arial"/>
                <w:kern w:val="0"/>
                <w:sz w:val="18"/>
                <w:szCs w:val="18"/>
                <w14:ligatures w14:val="none"/>
              </w:rPr>
              <w:t xml:space="preserve"> </w:t>
            </w:r>
            <w:r w:rsidRPr="00CE5FBD">
              <w:rPr>
                <w:rFonts w:ascii="Aptos" w:eastAsia="Arial" w:hAnsi="Aptos" w:cs="Arial"/>
                <w:kern w:val="0"/>
                <w:sz w:val="18"/>
                <w:szCs w:val="18"/>
                <w14:ligatures w14:val="none"/>
              </w:rPr>
              <w:t xml:space="preserve">exclusion criteria and critical data element results between HMS chart review data and eCQM data for the University of Michigan. </w:t>
            </w:r>
          </w:p>
        </w:tc>
        <w:tc>
          <w:tcPr>
            <w:tcW w:w="6480" w:type="dxa"/>
            <w:vAlign w:val="center"/>
          </w:tcPr>
          <w:p w14:paraId="78A69F6C" w14:textId="77777777" w:rsidR="008D3B16" w:rsidRPr="00CE5FBD" w:rsidRDefault="008D3B16" w:rsidP="006838FB">
            <w:pPr>
              <w:contextualSpacing/>
              <w:rPr>
                <w:rFonts w:ascii="Aptos" w:hAnsi="Aptos"/>
                <w:sz w:val="18"/>
                <w:szCs w:val="18"/>
              </w:rPr>
            </w:pPr>
            <w:r w:rsidRPr="00CE5FBD">
              <w:rPr>
                <w:rFonts w:ascii="Aptos" w:eastAsia="Arial" w:hAnsi="Aptos" w:cs="Arial"/>
                <w:kern w:val="0"/>
                <w:sz w:val="18"/>
                <w:szCs w:val="18"/>
                <w14:ligatures w14:val="none"/>
              </w:rPr>
              <w:t xml:space="preserve">The percentage of patients excluded, by individual element and overall, </w:t>
            </w:r>
            <w:proofErr w:type="gramStart"/>
            <w:r w:rsidRPr="00CE5FBD">
              <w:rPr>
                <w:rFonts w:ascii="Aptos" w:eastAsia="Arial" w:hAnsi="Aptos" w:cs="Arial"/>
                <w:kern w:val="0"/>
                <w:sz w:val="18"/>
                <w:szCs w:val="18"/>
                <w14:ligatures w14:val="none"/>
              </w:rPr>
              <w:t>were</w:t>
            </w:r>
            <w:proofErr w:type="gramEnd"/>
            <w:r w:rsidRPr="00CE5FBD">
              <w:rPr>
                <w:rFonts w:ascii="Aptos" w:eastAsia="Arial" w:hAnsi="Aptos" w:cs="Arial"/>
                <w:kern w:val="0"/>
                <w:sz w:val="18"/>
                <w:szCs w:val="18"/>
                <w14:ligatures w14:val="none"/>
              </w:rPr>
              <w:t xml:space="preserve"> similar across the </w:t>
            </w:r>
            <w:r w:rsidRPr="00CE5FBD">
              <w:rPr>
                <w:rFonts w:ascii="Aptos" w:hAnsi="Aptos"/>
                <w:sz w:val="18"/>
                <w:szCs w:val="18"/>
              </w:rPr>
              <w:t>University of Michigan, University of Utah, and the VA healthcare systems.</w:t>
            </w:r>
          </w:p>
          <w:p w14:paraId="2B3EF5CF" w14:textId="77777777" w:rsidR="008D3B16" w:rsidRPr="00CE5FBD" w:rsidRDefault="008D3B16" w:rsidP="006838FB">
            <w:pPr>
              <w:rPr>
                <w:rFonts w:ascii="Aptos" w:eastAsia="Arial" w:hAnsi="Aptos" w:cs="Arial"/>
                <w:kern w:val="0"/>
                <w:sz w:val="18"/>
                <w:szCs w:val="18"/>
                <w14:ligatures w14:val="none"/>
              </w:rPr>
            </w:pPr>
          </w:p>
          <w:p w14:paraId="2968DE8B" w14:textId="5FFE59ED" w:rsidR="008D3B16" w:rsidRPr="00CE5FBD" w:rsidRDefault="008D3B16" w:rsidP="006838FB">
            <w:pPr>
              <w:contextualSpacing/>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 xml:space="preserve">Sensitivity and specificity </w:t>
            </w:r>
            <w:r w:rsidR="00F61E3D">
              <w:rPr>
                <w:rFonts w:ascii="Aptos" w:eastAsia="Arial" w:hAnsi="Aptos" w:cs="Arial"/>
                <w:kern w:val="0"/>
                <w:sz w:val="18"/>
                <w:szCs w:val="18"/>
                <w14:ligatures w14:val="none"/>
              </w:rPr>
              <w:t>ranged from 88%-100%</w:t>
            </w:r>
            <w:r w:rsidRPr="00CE5FBD">
              <w:rPr>
                <w:rFonts w:ascii="Aptos" w:eastAsia="Arial" w:hAnsi="Aptos" w:cs="Arial"/>
                <w:kern w:val="0"/>
                <w:sz w:val="18"/>
                <w:szCs w:val="18"/>
                <w14:ligatures w14:val="none"/>
              </w:rPr>
              <w:t xml:space="preserve"> for all critical data elements (see </w:t>
            </w:r>
            <w:r w:rsidR="00F61E3D">
              <w:rPr>
                <w:rFonts w:ascii="Aptos" w:eastAsia="Arial" w:hAnsi="Aptos" w:cs="Arial"/>
                <w:kern w:val="0"/>
                <w:sz w:val="18"/>
                <w:szCs w:val="18"/>
                <w14:ligatures w14:val="none"/>
              </w:rPr>
              <w:t>Tables 3 and 4, above</w:t>
            </w:r>
            <w:r w:rsidRPr="00CE5FBD">
              <w:rPr>
                <w:rFonts w:ascii="Aptos" w:eastAsia="Arial" w:hAnsi="Aptos" w:cs="Arial"/>
                <w:kern w:val="0"/>
                <w:sz w:val="18"/>
                <w:szCs w:val="18"/>
                <w14:ligatures w14:val="none"/>
              </w:rPr>
              <w:t xml:space="preserve">) </w:t>
            </w:r>
            <w:r w:rsidR="00F61E3D">
              <w:rPr>
                <w:rFonts w:ascii="Aptos" w:eastAsia="Arial" w:hAnsi="Aptos" w:cs="Arial"/>
                <w:kern w:val="0"/>
                <w:sz w:val="18"/>
                <w:szCs w:val="18"/>
                <w14:ligatures w14:val="none"/>
              </w:rPr>
              <w:t>except for the modified</w:t>
            </w:r>
            <w:r w:rsidRPr="00CE5FBD">
              <w:rPr>
                <w:rFonts w:ascii="Aptos" w:eastAsia="Arial" w:hAnsi="Aptos" w:cs="Arial"/>
                <w:kern w:val="0"/>
                <w:sz w:val="18"/>
                <w:szCs w:val="18"/>
                <w14:ligatures w14:val="none"/>
              </w:rPr>
              <w:t xml:space="preserve"> clinical stability </w:t>
            </w:r>
            <w:r w:rsidR="00F61E3D">
              <w:rPr>
                <w:rFonts w:ascii="Aptos" w:eastAsia="Arial" w:hAnsi="Aptos" w:cs="Arial"/>
                <w:kern w:val="0"/>
                <w:sz w:val="18"/>
                <w:szCs w:val="18"/>
                <w14:ligatures w14:val="none"/>
              </w:rPr>
              <w:t xml:space="preserve">criteria </w:t>
            </w:r>
            <w:r w:rsidRPr="00CE5FBD">
              <w:rPr>
                <w:rFonts w:ascii="Aptos" w:eastAsia="Arial" w:hAnsi="Aptos" w:cs="Arial"/>
                <w:kern w:val="0"/>
                <w:sz w:val="18"/>
                <w:szCs w:val="18"/>
                <w14:ligatures w14:val="none"/>
              </w:rPr>
              <w:t xml:space="preserve">which </w:t>
            </w:r>
            <w:r w:rsidR="00F61E3D">
              <w:rPr>
                <w:rFonts w:ascii="Aptos" w:eastAsia="Arial" w:hAnsi="Aptos" w:cs="Arial"/>
                <w:kern w:val="0"/>
                <w:sz w:val="18"/>
                <w:szCs w:val="18"/>
                <w14:ligatures w14:val="none"/>
              </w:rPr>
              <w:t>were</w:t>
            </w:r>
            <w:r w:rsidRPr="00CE5FBD">
              <w:rPr>
                <w:rFonts w:ascii="Aptos" w:eastAsia="Arial" w:hAnsi="Aptos" w:cs="Arial"/>
                <w:kern w:val="0"/>
                <w:sz w:val="18"/>
                <w:szCs w:val="18"/>
                <w14:ligatures w14:val="none"/>
              </w:rPr>
              <w:t xml:space="preserve"> modified for feasibility reasons</w:t>
            </w:r>
            <w:r w:rsidR="00F61E3D">
              <w:rPr>
                <w:rFonts w:ascii="Aptos" w:eastAsia="Arial" w:hAnsi="Aptos" w:cs="Arial"/>
                <w:kern w:val="0"/>
                <w:sz w:val="18"/>
                <w:szCs w:val="18"/>
                <w14:ligatures w14:val="none"/>
              </w:rPr>
              <w:t xml:space="preserve"> (details in Feasibility section)</w:t>
            </w:r>
            <w:r w:rsidRPr="00CE5FBD">
              <w:rPr>
                <w:rFonts w:ascii="Aptos" w:eastAsia="Arial" w:hAnsi="Aptos" w:cs="Arial"/>
                <w:kern w:val="0"/>
                <w:sz w:val="18"/>
                <w:szCs w:val="18"/>
                <w14:ligatures w14:val="none"/>
              </w:rPr>
              <w:t>.</w:t>
            </w:r>
          </w:p>
          <w:p w14:paraId="372E33E4" w14:textId="77777777" w:rsidR="008D3B16" w:rsidRPr="00CE5FBD" w:rsidRDefault="008D3B16" w:rsidP="006838FB">
            <w:pPr>
              <w:contextualSpacing/>
              <w:rPr>
                <w:rFonts w:ascii="Aptos" w:eastAsia="Arial" w:hAnsi="Aptos" w:cs="Arial"/>
                <w:kern w:val="0"/>
                <w:sz w:val="18"/>
                <w:szCs w:val="18"/>
                <w14:ligatures w14:val="none"/>
              </w:rPr>
            </w:pPr>
          </w:p>
          <w:p w14:paraId="028990EB" w14:textId="77777777" w:rsidR="008D3B16" w:rsidRPr="00CE5FBD" w:rsidRDefault="008D3B16" w:rsidP="006838FB">
            <w:pPr>
              <w:contextualSpacing/>
              <w:rPr>
                <w:rFonts w:ascii="Aptos" w:hAnsi="Aptos"/>
                <w:sz w:val="18"/>
                <w:szCs w:val="18"/>
              </w:rPr>
            </w:pPr>
          </w:p>
        </w:tc>
        <w:tc>
          <w:tcPr>
            <w:tcW w:w="2430" w:type="dxa"/>
            <w:vAlign w:val="center"/>
          </w:tcPr>
          <w:p w14:paraId="728927BD"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Used modified definition of clinical stability to improve feasibility; otherwise, critical data elements (including exclusions) had high sensitivity and specificity</w:t>
            </w:r>
          </w:p>
        </w:tc>
      </w:tr>
      <w:tr w:rsidR="008D3B16" w:rsidRPr="00CE5FBD" w14:paraId="54E25435" w14:textId="77777777" w:rsidTr="006106EC">
        <w:trPr>
          <w:cantSplit/>
        </w:trPr>
        <w:tc>
          <w:tcPr>
            <w:tcW w:w="2167" w:type="dxa"/>
            <w:vAlign w:val="center"/>
          </w:tcPr>
          <w:p w14:paraId="60C99323" w14:textId="77777777" w:rsidR="008D3B16" w:rsidRPr="00CE5FBD" w:rsidRDefault="008D3B16" w:rsidP="006838FB">
            <w:pPr>
              <w:widowControl w:val="0"/>
              <w:autoSpaceDE w:val="0"/>
              <w:autoSpaceDN w:val="0"/>
              <w:spacing w:after="120"/>
              <w:rPr>
                <w:rFonts w:ascii="Aptos" w:eastAsia="Arial" w:hAnsi="Aptos" w:cs="Arial"/>
                <w:color w:val="000000"/>
                <w:kern w:val="0"/>
                <w:sz w:val="18"/>
                <w:szCs w:val="18"/>
                <w14:ligatures w14:val="none"/>
              </w:rPr>
            </w:pPr>
            <w:r w:rsidRPr="00CE5FBD">
              <w:rPr>
                <w:rFonts w:ascii="Aptos" w:eastAsia="Arial" w:hAnsi="Aptos" w:cs="Arial"/>
                <w:color w:val="000000"/>
                <w:kern w:val="0"/>
                <w:sz w:val="18"/>
                <w:szCs w:val="18"/>
                <w14:ligatures w14:val="none"/>
              </w:rPr>
              <w:t>F. Face Validity: National Expert Panel Feedback (N=8 experts)</w:t>
            </w:r>
          </w:p>
        </w:tc>
        <w:tc>
          <w:tcPr>
            <w:tcW w:w="2868" w:type="dxa"/>
            <w:vAlign w:val="center"/>
          </w:tcPr>
          <w:p w14:paraId="301E7E6E" w14:textId="77777777" w:rsidR="008D3B16" w:rsidRPr="00CE5FBD" w:rsidRDefault="008D3B16" w:rsidP="006838FB">
            <w:pPr>
              <w:rPr>
                <w:rFonts w:ascii="Aptos" w:eastAsia="Arial" w:hAnsi="Aptos" w:cs="Arial"/>
                <w:color w:val="000000"/>
                <w:sz w:val="18"/>
                <w:szCs w:val="18"/>
              </w:rPr>
            </w:pPr>
            <w:r w:rsidRPr="00CE5FBD">
              <w:rPr>
                <w:rFonts w:ascii="Aptos" w:eastAsia="Arial" w:hAnsi="Aptos" w:cs="Arial"/>
                <w:color w:val="000000"/>
                <w:kern w:val="0"/>
                <w:sz w:val="18"/>
                <w:szCs w:val="18"/>
                <w14:ligatures w14:val="none"/>
              </w:rPr>
              <w:t>Individuals from 8 national organizations participated in online TEP which involved discussion of measure.</w:t>
            </w:r>
          </w:p>
        </w:tc>
        <w:tc>
          <w:tcPr>
            <w:tcW w:w="6480" w:type="dxa"/>
            <w:vAlign w:val="center"/>
          </w:tcPr>
          <w:p w14:paraId="1CE51E33" w14:textId="77777777" w:rsidR="008D3B16" w:rsidRPr="00CE5FBD" w:rsidRDefault="008D3B16" w:rsidP="006838FB">
            <w:pPr>
              <w:rPr>
                <w:rFonts w:ascii="Aptos" w:eastAsia="Arial" w:hAnsi="Aptos" w:cs="Arial"/>
                <w:color w:val="000000"/>
                <w:kern w:val="0"/>
                <w:sz w:val="18"/>
                <w:szCs w:val="18"/>
                <w14:ligatures w14:val="none"/>
              </w:rPr>
            </w:pPr>
            <w:r w:rsidRPr="00CE5FBD">
              <w:rPr>
                <w:rFonts w:ascii="Aptos" w:eastAsia="Arial" w:hAnsi="Aptos" w:cs="Arial"/>
                <w:color w:val="000000"/>
                <w:kern w:val="0"/>
                <w:sz w:val="18"/>
                <w:szCs w:val="18"/>
                <w14:ligatures w14:val="none"/>
              </w:rPr>
              <w:t>TEP members agreed with face validity. Additional questions/data requests were answered, and responses included below.</w:t>
            </w:r>
          </w:p>
          <w:p w14:paraId="1CC45502" w14:textId="77777777" w:rsidR="008D3B16" w:rsidRPr="00CE5FBD" w:rsidRDefault="008D3B16" w:rsidP="006838FB">
            <w:pPr>
              <w:rPr>
                <w:rFonts w:ascii="Aptos" w:eastAsia="Arial" w:hAnsi="Aptos" w:cs="Arial"/>
                <w:color w:val="000000"/>
                <w:kern w:val="0"/>
                <w:sz w:val="18"/>
                <w:szCs w:val="18"/>
                <w14:ligatures w14:val="none"/>
              </w:rPr>
            </w:pPr>
          </w:p>
          <w:p w14:paraId="32FDF655" w14:textId="77777777" w:rsidR="008D3B16" w:rsidRPr="00CE5FBD" w:rsidRDefault="008D3B16" w:rsidP="006838FB">
            <w:pPr>
              <w:rPr>
                <w:rFonts w:ascii="Aptos" w:eastAsia="Arial" w:hAnsi="Aptos" w:cs="Arial"/>
                <w:color w:val="000000"/>
                <w:kern w:val="0"/>
                <w:sz w:val="18"/>
                <w:szCs w:val="18"/>
                <w14:ligatures w14:val="none"/>
              </w:rPr>
            </w:pPr>
            <w:r w:rsidRPr="00CE5FBD">
              <w:rPr>
                <w:rFonts w:ascii="Aptos" w:eastAsia="Arial" w:hAnsi="Aptos" w:cs="Arial"/>
                <w:color w:val="000000"/>
                <w:kern w:val="0"/>
                <w:sz w:val="18"/>
                <w:szCs w:val="18"/>
                <w14:ligatures w14:val="none"/>
              </w:rPr>
              <w:t>Survey Question:</w:t>
            </w:r>
          </w:p>
          <w:p w14:paraId="53DFF517" w14:textId="77777777" w:rsidR="008D3B16" w:rsidRPr="00CE5FBD" w:rsidRDefault="008D3B16" w:rsidP="006838FB">
            <w:pPr>
              <w:rPr>
                <w:rFonts w:ascii="Aptos" w:eastAsia="Arial" w:hAnsi="Aptos" w:cs="Arial"/>
                <w:color w:val="000000"/>
                <w:kern w:val="0"/>
                <w:sz w:val="18"/>
                <w:szCs w:val="18"/>
                <w14:ligatures w14:val="none"/>
              </w:rPr>
            </w:pPr>
            <w:r w:rsidRPr="00CE5FBD">
              <w:rPr>
                <w:rFonts w:ascii="Aptos" w:eastAsia="Arial" w:hAnsi="Aptos" w:cs="Arial"/>
                <w:color w:val="000000"/>
                <w:kern w:val="0"/>
                <w:sz w:val="18"/>
                <w:szCs w:val="18"/>
                <w14:ligatures w14:val="none"/>
              </w:rPr>
              <w:t xml:space="preserve"> “The measure as specified can be used to distinguish between better and worse performing hospitals.” (Likert scale 1=Strongly disagree, 5=Strongly agree) </w:t>
            </w:r>
          </w:p>
          <w:p w14:paraId="51CA67DE" w14:textId="77777777" w:rsidR="008D3B16" w:rsidRPr="00CE5FBD" w:rsidRDefault="008D3B16" w:rsidP="006838FB">
            <w:pPr>
              <w:widowControl w:val="0"/>
              <w:autoSpaceDE w:val="0"/>
              <w:autoSpaceDN w:val="0"/>
              <w:spacing w:after="120"/>
              <w:rPr>
                <w:rFonts w:ascii="Aptos" w:eastAsia="Arial" w:hAnsi="Aptos" w:cs="Arial"/>
                <w:color w:val="000000"/>
                <w:kern w:val="0"/>
                <w:sz w:val="18"/>
                <w:szCs w:val="18"/>
                <w14:ligatures w14:val="none"/>
              </w:rPr>
            </w:pPr>
            <w:r w:rsidRPr="00CE5FBD">
              <w:rPr>
                <w:rFonts w:ascii="Aptos" w:eastAsia="Arial" w:hAnsi="Aptos" w:cs="Arial"/>
                <w:color w:val="000000"/>
                <w:kern w:val="0"/>
                <w:sz w:val="18"/>
                <w:szCs w:val="18"/>
                <w14:ligatures w14:val="none"/>
              </w:rPr>
              <w:t>6/8 respondents (75%%) reported “Agree”; 2/8 (25%) reported “Strongly agree”</w:t>
            </w:r>
          </w:p>
        </w:tc>
        <w:tc>
          <w:tcPr>
            <w:tcW w:w="2430" w:type="dxa"/>
            <w:vAlign w:val="center"/>
          </w:tcPr>
          <w:p w14:paraId="5CFF9ACB" w14:textId="77777777" w:rsidR="008D3B16" w:rsidRPr="00CE5FBD" w:rsidRDefault="008D3B16" w:rsidP="006838FB">
            <w:pPr>
              <w:rPr>
                <w:rFonts w:ascii="Aptos" w:hAnsi="Aptos"/>
                <w:sz w:val="18"/>
                <w:szCs w:val="18"/>
              </w:rPr>
            </w:pPr>
            <w:r w:rsidRPr="00CE5FBD">
              <w:rPr>
                <w:rFonts w:ascii="Aptos" w:hAnsi="Aptos"/>
                <w:sz w:val="18"/>
                <w:szCs w:val="18"/>
              </w:rPr>
              <w:t>High face validity</w:t>
            </w:r>
          </w:p>
        </w:tc>
      </w:tr>
      <w:tr w:rsidR="008D3B16" w:rsidRPr="00CE5FBD" w14:paraId="7A2D28F2" w14:textId="77777777" w:rsidTr="006106EC">
        <w:trPr>
          <w:cantSplit/>
          <w:trHeight w:val="854"/>
        </w:trPr>
        <w:tc>
          <w:tcPr>
            <w:tcW w:w="2167" w:type="dxa"/>
            <w:vAlign w:val="center"/>
          </w:tcPr>
          <w:p w14:paraId="09C555C4"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color w:val="000000"/>
                <w:kern w:val="0"/>
                <w:sz w:val="18"/>
                <w:szCs w:val="18"/>
                <w14:ligatures w14:val="none"/>
              </w:rPr>
              <w:lastRenderedPageBreak/>
              <w:t>G. Empirical Validity: Evaluated association with other measures of CAP antibiotic treatment quality</w:t>
            </w:r>
          </w:p>
        </w:tc>
        <w:tc>
          <w:tcPr>
            <w:tcW w:w="2868" w:type="dxa"/>
            <w:vAlign w:val="center"/>
          </w:tcPr>
          <w:p w14:paraId="7277F1E1" w14:textId="77777777" w:rsidR="008D3B16" w:rsidRPr="00CE5FBD" w:rsidRDefault="008D3B16" w:rsidP="006838FB">
            <w:pPr>
              <w:spacing w:before="240"/>
              <w:rPr>
                <w:rFonts w:ascii="Aptos" w:hAnsi="Aptos" w:cs="Calibri"/>
                <w:kern w:val="0"/>
                <w:sz w:val="18"/>
                <w:szCs w:val="18"/>
                <w14:ligatures w14:val="none"/>
              </w:rPr>
            </w:pPr>
            <w:r w:rsidRPr="00CE5FBD">
              <w:rPr>
                <w:rFonts w:ascii="Aptos" w:hAnsi="Aptos" w:cs="Arial"/>
                <w:color w:val="000000"/>
                <w:kern w:val="0"/>
                <w:sz w:val="18"/>
                <w:szCs w:val="18"/>
                <w14:ligatures w14:val="none"/>
              </w:rPr>
              <w:t>Evaluated association at hospital level between CAP excess duration and CAP inappropriately broad-spectrum antibiotic use.</w:t>
            </w:r>
          </w:p>
        </w:tc>
        <w:tc>
          <w:tcPr>
            <w:tcW w:w="6480" w:type="dxa"/>
            <w:vAlign w:val="center"/>
          </w:tcPr>
          <w:p w14:paraId="7E872EFC" w14:textId="4E18F7E2"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color w:val="000000"/>
                <w:kern w:val="0"/>
                <w:sz w:val="18"/>
                <w:szCs w:val="18"/>
                <w14:ligatures w14:val="none"/>
              </w:rPr>
              <w:t>Hospitals with higher excess duration also had higher inappropriate use of broad-spectrum antibiotics for CAP; R=0.29, p=0.002 (i.e., weak positive correlation)</w:t>
            </w:r>
          </w:p>
        </w:tc>
        <w:tc>
          <w:tcPr>
            <w:tcW w:w="2430" w:type="dxa"/>
            <w:vAlign w:val="center"/>
          </w:tcPr>
          <w:p w14:paraId="23226944"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color w:val="000000"/>
                <w:kern w:val="0"/>
                <w:sz w:val="18"/>
                <w:szCs w:val="18"/>
                <w14:ligatures w14:val="none"/>
              </w:rPr>
              <w:t>Hospitals performing better on this measure were also better at empiric treatment of CAP</w:t>
            </w:r>
          </w:p>
        </w:tc>
      </w:tr>
      <w:tr w:rsidR="008D3B16" w:rsidRPr="00CE5FBD" w14:paraId="06343DF8" w14:textId="77777777" w:rsidTr="006106EC">
        <w:trPr>
          <w:cantSplit/>
        </w:trPr>
        <w:tc>
          <w:tcPr>
            <w:tcW w:w="2167" w:type="dxa"/>
            <w:vAlign w:val="center"/>
          </w:tcPr>
          <w:p w14:paraId="3188C48D"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color w:val="000000"/>
                <w:kern w:val="0"/>
                <w:sz w:val="18"/>
                <w:szCs w:val="18"/>
                <w14:ligatures w14:val="none"/>
              </w:rPr>
              <w:t>H. Empirical Validity: Evaluated association of excess duration in CAP with outcomes</w:t>
            </w:r>
          </w:p>
        </w:tc>
        <w:tc>
          <w:tcPr>
            <w:tcW w:w="2868" w:type="dxa"/>
            <w:vAlign w:val="center"/>
          </w:tcPr>
          <w:p w14:paraId="66E919C8" w14:textId="77777777" w:rsidR="008D3B16" w:rsidRPr="00CE5FBD" w:rsidRDefault="008D3B16" w:rsidP="006838FB">
            <w:pPr>
              <w:spacing w:before="240"/>
              <w:rPr>
                <w:rFonts w:ascii="Aptos" w:hAnsi="Aptos" w:cs="Calibri"/>
                <w:kern w:val="0"/>
                <w:sz w:val="18"/>
                <w:szCs w:val="18"/>
                <w14:ligatures w14:val="none"/>
              </w:rPr>
            </w:pPr>
            <w:r w:rsidRPr="00CE5FBD">
              <w:rPr>
                <w:rFonts w:ascii="Aptos" w:hAnsi="Aptos" w:cs="Arial"/>
                <w:color w:val="000000"/>
                <w:kern w:val="0"/>
                <w:sz w:val="18"/>
                <w:szCs w:val="18"/>
                <w14:ligatures w14:val="none"/>
              </w:rPr>
              <w:t>(published work) Characterized 30-day patient outcomes and antibiotic-associated adverse events associated with excess antibiotic duration in CAP</w:t>
            </w:r>
          </w:p>
        </w:tc>
        <w:tc>
          <w:tcPr>
            <w:tcW w:w="6480" w:type="dxa"/>
            <w:vAlign w:val="center"/>
          </w:tcPr>
          <w:p w14:paraId="178EEF37" w14:textId="63EA06D0" w:rsidR="008D3B16" w:rsidRPr="00CE5FBD" w:rsidRDefault="008D3B16" w:rsidP="006838FB">
            <w:pPr>
              <w:widowControl w:val="0"/>
              <w:autoSpaceDE w:val="0"/>
              <w:autoSpaceDN w:val="0"/>
              <w:spacing w:after="120"/>
              <w:rPr>
                <w:rFonts w:ascii="Aptos" w:eastAsia="Arial" w:hAnsi="Aptos" w:cs="Arial"/>
                <w:color w:val="000000"/>
                <w:kern w:val="0"/>
                <w:sz w:val="18"/>
                <w:szCs w:val="18"/>
                <w:vertAlign w:val="superscript"/>
                <w14:ligatures w14:val="none"/>
              </w:rPr>
            </w:pPr>
            <w:r w:rsidRPr="00CE5FBD">
              <w:rPr>
                <w:rFonts w:ascii="Aptos" w:eastAsia="Arial" w:hAnsi="Aptos" w:cs="Arial"/>
                <w:color w:val="000000"/>
                <w:kern w:val="0"/>
                <w:sz w:val="18"/>
                <w:szCs w:val="18"/>
                <w14:ligatures w14:val="none"/>
              </w:rPr>
              <w:t>After adjustment, excess treatment duration was not associated with 30-day mortality, readmission, or emergency department visit.</w:t>
            </w:r>
            <w:r w:rsidR="008B5AB8">
              <w:rPr>
                <w:rFonts w:ascii="Aptos" w:eastAsia="Arial" w:hAnsi="Aptos" w:cs="Arial"/>
                <w:color w:val="000000"/>
                <w:kern w:val="0"/>
                <w:sz w:val="18"/>
                <w:szCs w:val="18"/>
                <w14:ligatures w14:val="none"/>
              </w:rPr>
              <w:t>[15]</w:t>
            </w:r>
          </w:p>
          <w:p w14:paraId="617BD77C" w14:textId="4BD9AE9E" w:rsidR="008D3B16" w:rsidRPr="00CE5FBD" w:rsidRDefault="008D3B16" w:rsidP="006106EC">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color w:val="000000"/>
                <w:kern w:val="0"/>
                <w:sz w:val="18"/>
                <w:szCs w:val="18"/>
                <w14:ligatures w14:val="none"/>
              </w:rPr>
              <w:t xml:space="preserve">Although excess duration was not associated with </w:t>
            </w:r>
            <w:r w:rsidRPr="00CE5FBD">
              <w:rPr>
                <w:rFonts w:ascii="Aptos" w:eastAsia="Times New Roman" w:hAnsi="Aptos" w:cs="Arial"/>
                <w:i/>
                <w:iCs/>
                <w:color w:val="000000"/>
                <w:kern w:val="0"/>
                <w:sz w:val="18"/>
                <w:szCs w:val="18"/>
                <w14:ligatures w14:val="none"/>
              </w:rPr>
              <w:t>C difficile</w:t>
            </w:r>
            <w:r w:rsidRPr="00CE5FBD">
              <w:rPr>
                <w:rFonts w:ascii="Aptos" w:eastAsia="Arial" w:hAnsi="Aptos" w:cs="Arial"/>
                <w:color w:val="000000"/>
                <w:kern w:val="0"/>
                <w:sz w:val="18"/>
                <w:szCs w:val="18"/>
                <w14:ligatures w14:val="none"/>
              </w:rPr>
              <w:t xml:space="preserve"> infection or provider-documented adverse events, </w:t>
            </w:r>
            <w:r w:rsidRPr="00CE5FBD">
              <w:rPr>
                <w:rFonts w:ascii="Aptos" w:eastAsia="Times New Roman" w:hAnsi="Aptos" w:cs="Arial"/>
                <w:b/>
                <w:bCs/>
                <w:color w:val="000000"/>
                <w:kern w:val="0"/>
                <w:sz w:val="18"/>
                <w:szCs w:val="18"/>
                <w14:ligatures w14:val="none"/>
              </w:rPr>
              <w:t>odds of a patient-reported adverse event (among patients contacted by telephone) were 5% (CI, 2% to 8%) greater for each excess day of treatmen</w:t>
            </w:r>
            <w:r w:rsidRPr="00CE5FBD">
              <w:rPr>
                <w:rFonts w:ascii="Aptos" w:eastAsia="Arial" w:hAnsi="Aptos" w:cs="Arial"/>
                <w:b/>
                <w:bCs/>
                <w:color w:val="000000"/>
                <w:kern w:val="0"/>
                <w:sz w:val="18"/>
                <w:szCs w:val="18"/>
                <w14:ligatures w14:val="none"/>
              </w:rPr>
              <w:t>t</w:t>
            </w:r>
            <w:r w:rsidRPr="00CE5FBD">
              <w:rPr>
                <w:rFonts w:ascii="Aptos" w:eastAsia="Arial" w:hAnsi="Aptos" w:cs="Arial"/>
                <w:color w:val="000000"/>
                <w:kern w:val="0"/>
                <w:sz w:val="18"/>
                <w:szCs w:val="18"/>
                <w14:ligatures w14:val="none"/>
              </w:rPr>
              <w:t>.</w:t>
            </w:r>
            <w:r w:rsidR="008B5AB8">
              <w:rPr>
                <w:rFonts w:ascii="Aptos" w:eastAsia="Arial" w:hAnsi="Aptos" w:cs="Arial"/>
                <w:color w:val="000000"/>
                <w:kern w:val="0"/>
                <w:sz w:val="18"/>
                <w:szCs w:val="18"/>
                <w14:ligatures w14:val="none"/>
              </w:rPr>
              <w:t>[15]</w:t>
            </w:r>
            <w:r w:rsidRPr="00CE5FBD">
              <w:rPr>
                <w:rFonts w:ascii="Aptos" w:eastAsia="Arial" w:hAnsi="Aptos" w:cs="Arial"/>
                <w:color w:val="000000"/>
                <w:kern w:val="0"/>
                <w:sz w:val="18"/>
                <w:szCs w:val="18"/>
                <w14:ligatures w14:val="none"/>
              </w:rPr>
              <w:fldChar w:fldCharType="begin">
                <w:fldData xml:space="preserve">PEVuZE5vdGU+PENpdGU+PEF1dGhvcj5WYXVnaG48L0F1dGhvcj48WWVhcj4yMDE5PC9ZZWFyPjxS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=
</w:fldData>
              </w:fldChar>
            </w:r>
            <w:r w:rsidRPr="00CE5FBD">
              <w:rPr>
                <w:rFonts w:ascii="Aptos" w:eastAsia="Arial" w:hAnsi="Aptos" w:cs="Arial"/>
                <w:color w:val="000000"/>
                <w:kern w:val="0"/>
                <w:sz w:val="18"/>
                <w:szCs w:val="18"/>
                <w14:ligatures w14:val="none"/>
              </w:rPr>
              <w:instrText xml:space="preserve"> ADDIN EN.CITE </w:instrText>
            </w:r>
            <w:r w:rsidRPr="00CE5FBD">
              <w:rPr>
                <w:rFonts w:ascii="Aptos" w:eastAsia="Arial" w:hAnsi="Aptos" w:cs="Arial"/>
                <w:color w:val="000000"/>
                <w:kern w:val="0"/>
                <w:sz w:val="18"/>
                <w:szCs w:val="18"/>
                <w14:ligatures w14:val="none"/>
              </w:rPr>
              <w:fldChar w:fldCharType="begin">
                <w:fldData xml:space="preserve">PEVuZE5vdGU+PENpdGU+PEF1dGhvcj5WYXVnaG48L0F1dGhvcj48WWVhcj4yMDE5PC9ZZWFyPjxS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=
</w:fldData>
              </w:fldChar>
            </w:r>
            <w:r w:rsidRPr="00CE5FBD">
              <w:rPr>
                <w:rFonts w:ascii="Aptos" w:eastAsia="Arial" w:hAnsi="Aptos" w:cs="Arial"/>
                <w:color w:val="000000"/>
                <w:kern w:val="0"/>
                <w:sz w:val="18"/>
                <w:szCs w:val="18"/>
                <w14:ligatures w14:val="none"/>
              </w:rPr>
              <w:instrText xml:space="preserve"> ADDIN EN.CITE.DATA </w:instrText>
            </w:r>
            <w:r w:rsidRPr="00CE5FBD">
              <w:rPr>
                <w:rFonts w:ascii="Aptos" w:eastAsia="Arial" w:hAnsi="Aptos" w:cs="Arial"/>
                <w:color w:val="000000"/>
                <w:kern w:val="0"/>
                <w:sz w:val="18"/>
                <w:szCs w:val="18"/>
                <w14:ligatures w14:val="none"/>
              </w:rPr>
            </w:r>
            <w:r w:rsidRPr="00CE5FBD">
              <w:rPr>
                <w:rFonts w:ascii="Aptos" w:eastAsia="Arial" w:hAnsi="Aptos" w:cs="Arial"/>
                <w:color w:val="000000"/>
                <w:kern w:val="0"/>
                <w:sz w:val="18"/>
                <w:szCs w:val="18"/>
                <w14:ligatures w14:val="none"/>
              </w:rPr>
              <w:fldChar w:fldCharType="end"/>
            </w:r>
            <w:r w:rsidRPr="00CE5FBD">
              <w:rPr>
                <w:rFonts w:ascii="Aptos" w:eastAsia="Arial" w:hAnsi="Aptos" w:cs="Arial"/>
                <w:color w:val="000000"/>
                <w:kern w:val="0"/>
                <w:sz w:val="18"/>
                <w:szCs w:val="18"/>
                <w14:ligatures w14:val="none"/>
              </w:rPr>
            </w:r>
            <w:r w:rsidRPr="00CE5FBD">
              <w:rPr>
                <w:rFonts w:ascii="Aptos" w:eastAsia="Arial" w:hAnsi="Aptos" w:cs="Arial"/>
                <w:color w:val="000000"/>
                <w:kern w:val="0"/>
                <w:sz w:val="18"/>
                <w:szCs w:val="18"/>
                <w14:ligatures w14:val="none"/>
              </w:rPr>
              <w:fldChar w:fldCharType="separate"/>
            </w:r>
            <w:r w:rsidRPr="00CE5FBD">
              <w:rPr>
                <w:rFonts w:ascii="Aptos" w:eastAsia="Arial" w:hAnsi="Aptos" w:cs="Arial"/>
                <w:color w:val="000000"/>
                <w:kern w:val="0"/>
                <w:sz w:val="18"/>
                <w:szCs w:val="18"/>
                <w14:ligatures w14:val="none"/>
              </w:rPr>
              <w:fldChar w:fldCharType="end"/>
            </w:r>
          </w:p>
        </w:tc>
        <w:tc>
          <w:tcPr>
            <w:tcW w:w="2430" w:type="dxa"/>
            <w:vAlign w:val="center"/>
          </w:tcPr>
          <w:p w14:paraId="6706AD53" w14:textId="77777777" w:rsidR="008D3B16" w:rsidRPr="00CE5FBD" w:rsidRDefault="008D3B16" w:rsidP="006838FB">
            <w:pPr>
              <w:widowControl w:val="0"/>
              <w:autoSpaceDE w:val="0"/>
              <w:autoSpaceDN w:val="0"/>
              <w:spacing w:after="120"/>
              <w:rPr>
                <w:rFonts w:ascii="Aptos" w:eastAsia="Arial" w:hAnsi="Aptos" w:cs="Arial"/>
                <w:kern w:val="0"/>
                <w:sz w:val="18"/>
                <w:szCs w:val="18"/>
                <w14:ligatures w14:val="none"/>
              </w:rPr>
            </w:pPr>
            <w:r w:rsidRPr="00CE5FBD">
              <w:rPr>
                <w:rFonts w:ascii="Aptos" w:eastAsia="Arial" w:hAnsi="Aptos" w:cs="Arial"/>
                <w:color w:val="000000"/>
                <w:kern w:val="0"/>
                <w:sz w:val="18"/>
                <w:szCs w:val="18"/>
                <w14:ligatures w14:val="none"/>
              </w:rPr>
              <w:t>Excess antibiotic duration for CAP is associated with antibiotic-related harm</w:t>
            </w:r>
          </w:p>
        </w:tc>
      </w:tr>
      <w:tr w:rsidR="008D3B16" w:rsidRPr="00CE5FBD" w14:paraId="7BC4F878" w14:textId="77777777" w:rsidTr="006106EC">
        <w:trPr>
          <w:cantSplit/>
        </w:trPr>
        <w:tc>
          <w:tcPr>
            <w:tcW w:w="2167" w:type="dxa"/>
            <w:vAlign w:val="center"/>
          </w:tcPr>
          <w:p w14:paraId="1D3A0D64" w14:textId="77777777" w:rsidR="008D3B16" w:rsidRPr="00CE5FBD" w:rsidRDefault="008D3B16" w:rsidP="006838FB">
            <w:pPr>
              <w:widowControl w:val="0"/>
              <w:autoSpaceDE w:val="0"/>
              <w:autoSpaceDN w:val="0"/>
              <w:spacing w:after="120"/>
              <w:rPr>
                <w:rFonts w:ascii="Aptos" w:eastAsia="Arial" w:hAnsi="Aptos" w:cs="Arial"/>
                <w:color w:val="000000"/>
                <w:kern w:val="0"/>
                <w:sz w:val="18"/>
                <w:szCs w:val="18"/>
                <w14:ligatures w14:val="none"/>
              </w:rPr>
            </w:pPr>
            <w:r w:rsidRPr="00CE5FBD">
              <w:rPr>
                <w:rFonts w:ascii="Aptos" w:eastAsia="Arial" w:hAnsi="Aptos" w:cs="Arial"/>
                <w:color w:val="000000"/>
                <w:kern w:val="0"/>
                <w:sz w:val="18"/>
                <w:szCs w:val="18"/>
                <w14:ligatures w14:val="none"/>
              </w:rPr>
              <w:t>I. Predictive Validity: Evaluated whether improvement in excess duration results in improved patient outcomes.</w:t>
            </w:r>
          </w:p>
        </w:tc>
        <w:tc>
          <w:tcPr>
            <w:tcW w:w="2868" w:type="dxa"/>
            <w:vAlign w:val="center"/>
          </w:tcPr>
          <w:p w14:paraId="572074F1" w14:textId="77777777" w:rsidR="008D3B16" w:rsidRPr="00CE5FBD" w:rsidRDefault="008D3B16" w:rsidP="006838FB">
            <w:pPr>
              <w:spacing w:before="240"/>
              <w:rPr>
                <w:rFonts w:ascii="Aptos" w:hAnsi="Aptos" w:cs="Arial"/>
                <w:color w:val="000000"/>
                <w:kern w:val="0"/>
                <w:sz w:val="18"/>
                <w:szCs w:val="18"/>
                <w14:ligatures w14:val="none"/>
              </w:rPr>
            </w:pPr>
            <w:r w:rsidRPr="00CE5FBD">
              <w:rPr>
                <w:rFonts w:ascii="Aptos" w:hAnsi="Aptos" w:cs="Arial"/>
                <w:color w:val="000000"/>
                <w:kern w:val="0"/>
                <w:sz w:val="18"/>
                <w:szCs w:val="18"/>
                <w14:ligatures w14:val="none"/>
              </w:rPr>
              <w:t>(published work) Characterized how 30-day outcomes changed as excess duration was reduced in Michigan hospitals</w:t>
            </w:r>
          </w:p>
        </w:tc>
        <w:tc>
          <w:tcPr>
            <w:tcW w:w="6480" w:type="dxa"/>
            <w:vAlign w:val="center"/>
          </w:tcPr>
          <w:p w14:paraId="1333238F" w14:textId="2D8B5951" w:rsidR="008D3B16" w:rsidRPr="00CE5FBD" w:rsidRDefault="008D3B16" w:rsidP="006838FB">
            <w:pPr>
              <w:widowControl w:val="0"/>
              <w:autoSpaceDE w:val="0"/>
              <w:autoSpaceDN w:val="0"/>
              <w:spacing w:after="120"/>
              <w:rPr>
                <w:rFonts w:ascii="Aptos" w:eastAsia="Arial" w:hAnsi="Aptos" w:cs="Arial"/>
                <w:color w:val="000000"/>
                <w:kern w:val="0"/>
                <w:sz w:val="18"/>
                <w:szCs w:val="18"/>
                <w14:ligatures w14:val="none"/>
              </w:rPr>
            </w:pPr>
            <w:r w:rsidRPr="00CE5FBD">
              <w:rPr>
                <w:rFonts w:ascii="Aptos" w:eastAsia="Arial" w:hAnsi="Aptos" w:cs="Arial"/>
                <w:color w:val="000000" w:themeColor="text1"/>
                <w:kern w:val="0"/>
                <w:sz w:val="18"/>
                <w:szCs w:val="18"/>
                <w14:ligatures w14:val="none"/>
              </w:rPr>
              <w:t xml:space="preserve">When used as a pay-for-performance measure across 41 Michigan hospitals, the chart review measure from which our eCQM was adapted increased appropriate use of short duration therapy for CAP by 22% and decreased adverse events (driven by antibiotic-associated harm; </w:t>
            </w:r>
            <w:proofErr w:type="spellStart"/>
            <w:r w:rsidRPr="00CE5FBD">
              <w:rPr>
                <w:rFonts w:ascii="Aptos" w:eastAsia="Arial" w:hAnsi="Aptos" w:cs="Arial"/>
                <w:color w:val="000000" w:themeColor="text1"/>
                <w:kern w:val="0"/>
                <w:sz w:val="18"/>
                <w:szCs w:val="18"/>
                <w14:ligatures w14:val="none"/>
              </w:rPr>
              <w:t>aOR</w:t>
            </w:r>
            <w:proofErr w:type="spellEnd"/>
            <w:r w:rsidRPr="00CE5FBD">
              <w:rPr>
                <w:rFonts w:ascii="Aptos" w:eastAsia="Arial" w:hAnsi="Aptos" w:cs="Arial"/>
                <w:color w:val="000000" w:themeColor="text1"/>
                <w:kern w:val="0"/>
                <w:sz w:val="18"/>
                <w:szCs w:val="18"/>
                <w14:ligatures w14:val="none"/>
              </w:rPr>
              <w:t xml:space="preserve"> per quarter, 0.98 [95% confidence interval: .96-.99]).</w:t>
            </w:r>
            <w:r w:rsidR="008B5AB8">
              <w:rPr>
                <w:rFonts w:ascii="Aptos" w:eastAsia="Arial" w:hAnsi="Aptos" w:cs="Arial"/>
                <w:color w:val="000000" w:themeColor="text1"/>
                <w:kern w:val="0"/>
                <w:sz w:val="18"/>
                <w:szCs w:val="18"/>
                <w14:ligatures w14:val="none"/>
              </w:rPr>
              <w:t>[24]</w:t>
            </w:r>
          </w:p>
        </w:tc>
        <w:tc>
          <w:tcPr>
            <w:tcW w:w="2430" w:type="dxa"/>
            <w:vAlign w:val="center"/>
          </w:tcPr>
          <w:p w14:paraId="2BE7EEE8" w14:textId="77777777" w:rsidR="008D3B16" w:rsidRPr="00CE5FBD" w:rsidRDefault="008D3B16" w:rsidP="006838FB">
            <w:pPr>
              <w:widowControl w:val="0"/>
              <w:autoSpaceDE w:val="0"/>
              <w:autoSpaceDN w:val="0"/>
              <w:spacing w:after="120"/>
              <w:rPr>
                <w:rFonts w:ascii="Aptos" w:eastAsia="Arial" w:hAnsi="Aptos" w:cs="Arial"/>
                <w:color w:val="000000"/>
                <w:kern w:val="0"/>
                <w:sz w:val="18"/>
                <w:szCs w:val="18"/>
                <w14:ligatures w14:val="none"/>
              </w:rPr>
            </w:pPr>
            <w:r w:rsidRPr="00CE5FBD">
              <w:rPr>
                <w:rFonts w:ascii="Aptos" w:eastAsia="Arial" w:hAnsi="Aptos" w:cs="Arial"/>
                <w:color w:val="000000"/>
                <w:kern w:val="0"/>
                <w:sz w:val="18"/>
                <w:szCs w:val="18"/>
                <w14:ligatures w14:val="none"/>
              </w:rPr>
              <w:t>Reducing excess duration for CAP may reduce antibiotic-related harm</w:t>
            </w:r>
          </w:p>
        </w:tc>
      </w:tr>
    </w:tbl>
    <w:p w14:paraId="4E7D0AA7" w14:textId="77777777" w:rsidR="008D3B16" w:rsidRPr="00CE5FBD" w:rsidRDefault="008D3B16" w:rsidP="008D3B16">
      <w:pPr>
        <w:widowControl w:val="0"/>
        <w:autoSpaceDE w:val="0"/>
        <w:autoSpaceDN w:val="0"/>
        <w:spacing w:after="120" w:line="240" w:lineRule="auto"/>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Abbreviations: RCT, randomized clinical trial; ATS, American Thoracic Society; IDSA, Infectious Disease Society of America; CAP, community-acquired pneumonia; HMS,</w:t>
      </w:r>
      <w:r w:rsidRPr="00CE5FBD">
        <w:rPr>
          <w:rFonts w:ascii="Aptos" w:hAnsi="Aptos" w:cs="Calibri"/>
          <w:sz w:val="22"/>
          <w:szCs w:val="22"/>
        </w:rPr>
        <w:t xml:space="preserve"> </w:t>
      </w:r>
      <w:r w:rsidRPr="00CE5FBD">
        <w:rPr>
          <w:rFonts w:ascii="Aptos" w:eastAsia="Arial" w:hAnsi="Aptos" w:cs="Arial"/>
          <w:kern w:val="0"/>
          <w:sz w:val="18"/>
          <w:szCs w:val="18"/>
          <w14:ligatures w14:val="none"/>
        </w:rPr>
        <w:t xml:space="preserve">Michigan Hospital Medicine Safety Consortium; TEP, technical expert panel; </w:t>
      </w:r>
      <w:proofErr w:type="spellStart"/>
      <w:r w:rsidRPr="00CE5FBD">
        <w:rPr>
          <w:rFonts w:ascii="Aptos" w:eastAsia="Arial" w:hAnsi="Aptos" w:cs="Arial"/>
          <w:kern w:val="0"/>
          <w:sz w:val="18"/>
          <w:szCs w:val="18"/>
          <w14:ligatures w14:val="none"/>
        </w:rPr>
        <w:t>aOR</w:t>
      </w:r>
      <w:proofErr w:type="spellEnd"/>
      <w:r w:rsidRPr="00CE5FBD">
        <w:rPr>
          <w:rFonts w:ascii="Aptos" w:eastAsia="Arial" w:hAnsi="Aptos" w:cs="Arial"/>
          <w:kern w:val="0"/>
          <w:sz w:val="18"/>
          <w:szCs w:val="18"/>
          <w14:ligatures w14:val="none"/>
        </w:rPr>
        <w:t>, adjusted odds ratio</w:t>
      </w:r>
    </w:p>
    <w:p w14:paraId="2E0E9AA3" w14:textId="77777777" w:rsidR="008D3B16" w:rsidRPr="00CE5FBD" w:rsidRDefault="008D3B16" w:rsidP="008D3B16">
      <w:pPr>
        <w:widowControl w:val="0"/>
        <w:autoSpaceDE w:val="0"/>
        <w:autoSpaceDN w:val="0"/>
        <w:spacing w:after="120" w:line="240" w:lineRule="auto"/>
        <w:rPr>
          <w:rFonts w:ascii="Aptos" w:eastAsia="Arial" w:hAnsi="Aptos" w:cs="Arial"/>
          <w:kern w:val="0"/>
          <w:sz w:val="18"/>
          <w:szCs w:val="18"/>
          <w14:ligatures w14:val="none"/>
        </w:rPr>
      </w:pPr>
      <w:r w:rsidRPr="00CE5FBD">
        <w:rPr>
          <w:rFonts w:ascii="Aptos" w:eastAsia="Arial" w:hAnsi="Aptos" w:cs="Arial"/>
          <w:kern w:val="0"/>
          <w:sz w:val="18"/>
          <w:szCs w:val="18"/>
          <w14:ligatures w14:val="none"/>
        </w:rPr>
        <w:t>*</w:t>
      </w:r>
      <w:proofErr w:type="gramStart"/>
      <w:r w:rsidRPr="00CE5FBD">
        <w:rPr>
          <w:rFonts w:ascii="Aptos" w:eastAsia="Arial" w:hAnsi="Aptos" w:cs="Arial"/>
          <w:kern w:val="0"/>
          <w:sz w:val="18"/>
          <w:szCs w:val="18"/>
          <w14:ligatures w14:val="none"/>
        </w:rPr>
        <w:t>cells</w:t>
      </w:r>
      <w:proofErr w:type="gramEnd"/>
      <w:r w:rsidRPr="00CE5FBD">
        <w:rPr>
          <w:rFonts w:ascii="Aptos" w:eastAsia="Arial" w:hAnsi="Aptos" w:cs="Arial"/>
          <w:kern w:val="0"/>
          <w:sz w:val="18"/>
          <w:szCs w:val="18"/>
          <w14:ligatures w14:val="none"/>
        </w:rPr>
        <w:t xml:space="preserve"> intentionally left empty</w:t>
      </w:r>
    </w:p>
    <w:p w14:paraId="2F85FC5D" w14:textId="77777777" w:rsidR="008D3B16" w:rsidRDefault="008D3B16" w:rsidP="008D3B16">
      <w:pPr>
        <w:pStyle w:val="BodyText"/>
        <w:spacing w:after="120"/>
        <w:rPr>
          <w:rFonts w:ascii="Aptos" w:hAnsi="Aptos"/>
          <w:b/>
          <w:bCs/>
          <w:sz w:val="22"/>
          <w:szCs w:val="22"/>
        </w:rPr>
      </w:pPr>
    </w:p>
    <w:p w14:paraId="2E18FFDC" w14:textId="77777777" w:rsidR="008D3B16" w:rsidRDefault="008D3B16">
      <w:pPr>
        <w:rPr>
          <w:rFonts w:eastAsia="Arial" w:cs="Arial"/>
          <w:b/>
          <w:bCs/>
          <w:kern w:val="0"/>
          <w:sz w:val="22"/>
          <w:szCs w:val="22"/>
          <w14:ligatures w14:val="none"/>
        </w:rPr>
      </w:pPr>
      <w:r>
        <w:rPr>
          <w:b/>
          <w:bCs/>
          <w:sz w:val="22"/>
          <w:szCs w:val="22"/>
        </w:rPr>
        <w:br w:type="page"/>
      </w:r>
    </w:p>
    <w:p w14:paraId="3862702E" w14:textId="77777777" w:rsidR="00B13EB2" w:rsidRDefault="00B13EB2" w:rsidP="000308F3">
      <w:pPr>
        <w:pStyle w:val="BodyText"/>
        <w:rPr>
          <w:rFonts w:asciiTheme="minorHAnsi" w:hAnsiTheme="minorHAnsi"/>
          <w:b/>
          <w:bCs/>
          <w:sz w:val="22"/>
          <w:szCs w:val="22"/>
        </w:rPr>
        <w:sectPr w:rsidR="00B13EB2" w:rsidSect="00B13EB2">
          <w:pgSz w:w="15840" w:h="12240" w:orient="landscape"/>
          <w:pgMar w:top="720" w:right="720" w:bottom="720" w:left="720" w:header="720" w:footer="720" w:gutter="0"/>
          <w:cols w:space="720"/>
          <w:docGrid w:linePitch="360"/>
        </w:sectPr>
      </w:pPr>
    </w:p>
    <w:p w14:paraId="6E2B4C2E" w14:textId="6CAFC4AD" w:rsidR="000308F3" w:rsidRPr="002957FD" w:rsidRDefault="000308F3" w:rsidP="000308F3">
      <w:pPr>
        <w:pStyle w:val="BodyText"/>
        <w:rPr>
          <w:rFonts w:asciiTheme="minorHAnsi" w:hAnsiTheme="minorHAnsi"/>
          <w:b/>
          <w:bCs/>
          <w:sz w:val="22"/>
          <w:szCs w:val="22"/>
        </w:rPr>
      </w:pPr>
      <w:r w:rsidRPr="002957FD">
        <w:rPr>
          <w:rFonts w:asciiTheme="minorHAnsi" w:hAnsiTheme="minorHAnsi"/>
          <w:b/>
          <w:bCs/>
          <w:sz w:val="22"/>
          <w:szCs w:val="22"/>
        </w:rPr>
        <w:lastRenderedPageBreak/>
        <w:t>Performance Gap</w:t>
      </w:r>
    </w:p>
    <w:p w14:paraId="0E166BF0" w14:textId="77777777" w:rsidR="000308F3" w:rsidRPr="002957FD" w:rsidRDefault="000308F3" w:rsidP="000308F3">
      <w:pPr>
        <w:pStyle w:val="BodyText"/>
        <w:rPr>
          <w:rFonts w:asciiTheme="minorHAnsi" w:hAnsiTheme="minorHAnsi"/>
          <w:b/>
          <w:bCs/>
          <w:sz w:val="22"/>
          <w:szCs w:val="22"/>
        </w:rPr>
      </w:pPr>
    </w:p>
    <w:p w14:paraId="0D3786F8" w14:textId="28160F28" w:rsidR="000308F3" w:rsidRPr="002957FD" w:rsidRDefault="000308F3" w:rsidP="000308F3">
      <w:pPr>
        <w:pStyle w:val="BodyText"/>
        <w:spacing w:after="120"/>
        <w:rPr>
          <w:rFonts w:asciiTheme="minorHAnsi" w:hAnsiTheme="minorHAnsi"/>
          <w:sz w:val="22"/>
          <w:szCs w:val="22"/>
        </w:rPr>
      </w:pPr>
      <w:bookmarkStart w:id="12" w:name="_Hlk174887565"/>
      <w:r w:rsidRPr="00C84723">
        <w:rPr>
          <w:rFonts w:asciiTheme="minorHAnsi" w:hAnsiTheme="minorHAnsi"/>
          <w:b/>
          <w:bCs/>
          <w:sz w:val="22"/>
          <w:szCs w:val="22"/>
        </w:rPr>
        <w:t xml:space="preserve">Table </w:t>
      </w:r>
      <w:r w:rsidR="007D4F57" w:rsidRPr="00C84723">
        <w:rPr>
          <w:rFonts w:asciiTheme="minorHAnsi" w:hAnsiTheme="minorHAnsi"/>
          <w:b/>
          <w:bCs/>
          <w:sz w:val="22"/>
          <w:szCs w:val="22"/>
        </w:rPr>
        <w:t>9</w:t>
      </w:r>
      <w:r w:rsidRPr="00C84723">
        <w:rPr>
          <w:rFonts w:asciiTheme="minorHAnsi" w:hAnsiTheme="minorHAnsi"/>
          <w:b/>
          <w:bCs/>
          <w:sz w:val="22"/>
          <w:szCs w:val="22"/>
        </w:rPr>
        <w:t xml:space="preserve">. </w:t>
      </w:r>
      <w:r w:rsidRPr="00C84723">
        <w:rPr>
          <w:rFonts w:asciiTheme="minorHAnsi" w:hAnsiTheme="minorHAnsi"/>
          <w:sz w:val="22"/>
          <w:szCs w:val="22"/>
        </w:rPr>
        <w:t>Performance</w:t>
      </w:r>
      <w:r w:rsidRPr="002957FD">
        <w:rPr>
          <w:rFonts w:asciiTheme="minorHAnsi" w:hAnsiTheme="minorHAnsi"/>
          <w:sz w:val="22"/>
          <w:szCs w:val="22"/>
        </w:rPr>
        <w:t xml:space="preserve"> scores by decile across 109 VA </w:t>
      </w:r>
      <w:r w:rsidR="00412C87">
        <w:rPr>
          <w:rFonts w:asciiTheme="minorHAnsi" w:hAnsiTheme="minorHAnsi"/>
          <w:sz w:val="22"/>
          <w:szCs w:val="22"/>
        </w:rPr>
        <w:t>hospitals</w:t>
      </w:r>
      <w:r w:rsidRPr="002957FD">
        <w:rPr>
          <w:rFonts w:asciiTheme="minorHAnsi" w:hAnsiTheme="minorHAnsi"/>
          <w:sz w:val="22"/>
          <w:szCs w:val="22"/>
        </w:rPr>
        <w:t xml:space="preserve"> (1/1/2022-6/30/2024)</w:t>
      </w:r>
    </w:p>
    <w:p w14:paraId="26419516" w14:textId="77777777" w:rsidR="000308F3" w:rsidRPr="00C52CC8" w:rsidRDefault="000308F3" w:rsidP="000308F3">
      <w:pPr>
        <w:pStyle w:val="BodyText"/>
        <w:keepLines/>
      </w:pPr>
    </w:p>
    <w:tbl>
      <w:tblPr>
        <w:tblStyle w:val="TableGrid"/>
        <w:tblW w:w="10520" w:type="dxa"/>
        <w:tblLayout w:type="fixed"/>
        <w:tblLook w:val="04A0" w:firstRow="1" w:lastRow="0" w:firstColumn="1" w:lastColumn="0" w:noHBand="0" w:noVBand="1"/>
      </w:tblPr>
      <w:tblGrid>
        <w:gridCol w:w="980"/>
        <w:gridCol w:w="630"/>
        <w:gridCol w:w="742"/>
        <w:gridCol w:w="743"/>
        <w:gridCol w:w="742"/>
        <w:gridCol w:w="743"/>
        <w:gridCol w:w="742"/>
        <w:gridCol w:w="743"/>
        <w:gridCol w:w="742"/>
        <w:gridCol w:w="743"/>
        <w:gridCol w:w="742"/>
        <w:gridCol w:w="743"/>
        <w:gridCol w:w="742"/>
        <w:gridCol w:w="743"/>
      </w:tblGrid>
      <w:tr w:rsidR="000308F3" w:rsidRPr="00C52CC8" w14:paraId="3DD6D48E" w14:textId="77777777" w:rsidTr="002957FD">
        <w:trPr>
          <w:trHeight w:val="300"/>
        </w:trPr>
        <w:tc>
          <w:tcPr>
            <w:tcW w:w="98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3D014149" w14:textId="77777777" w:rsidR="000308F3" w:rsidRPr="00C52CC8" w:rsidRDefault="000308F3" w:rsidP="00E75BA0">
            <w:pPr>
              <w:keepLines/>
              <w:rPr>
                <w:rFonts w:ascii="Arial" w:eastAsia="Calibri" w:hAnsi="Arial" w:cs="Arial"/>
                <w:b/>
                <w:bCs/>
                <w:sz w:val="16"/>
                <w:szCs w:val="16"/>
              </w:rPr>
            </w:pPr>
            <w:bookmarkStart w:id="13" w:name="_Hlk181188274"/>
          </w:p>
        </w:tc>
        <w:tc>
          <w:tcPr>
            <w:tcW w:w="63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432749E" w14:textId="77777777" w:rsidR="000308F3" w:rsidRPr="00C52CC8" w:rsidRDefault="000308F3" w:rsidP="00E75BA0">
            <w:pPr>
              <w:keepLines/>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Overall</w:t>
            </w:r>
          </w:p>
        </w:tc>
        <w:tc>
          <w:tcPr>
            <w:tcW w:w="742"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4EB0CF34"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Min</w:t>
            </w:r>
          </w:p>
        </w:tc>
        <w:tc>
          <w:tcPr>
            <w:tcW w:w="743"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009D6D4"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44837428"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1</w:t>
            </w:r>
          </w:p>
        </w:tc>
        <w:tc>
          <w:tcPr>
            <w:tcW w:w="742"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20C072A"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227B8790"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2</w:t>
            </w:r>
          </w:p>
        </w:tc>
        <w:tc>
          <w:tcPr>
            <w:tcW w:w="743"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80C66B8"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0ECD95A9"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3</w:t>
            </w:r>
          </w:p>
        </w:tc>
        <w:tc>
          <w:tcPr>
            <w:tcW w:w="742"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FF32EC3"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2F55DBC9"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4</w:t>
            </w:r>
          </w:p>
        </w:tc>
        <w:tc>
          <w:tcPr>
            <w:tcW w:w="743"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BDD8C0F"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4D52CD5A"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5</w:t>
            </w:r>
          </w:p>
        </w:tc>
        <w:tc>
          <w:tcPr>
            <w:tcW w:w="742"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C9CCE7B"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26AA4E41"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6</w:t>
            </w:r>
          </w:p>
        </w:tc>
        <w:tc>
          <w:tcPr>
            <w:tcW w:w="743"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E88D9F8"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131EEE71"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7</w:t>
            </w:r>
          </w:p>
        </w:tc>
        <w:tc>
          <w:tcPr>
            <w:tcW w:w="742"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4AE1588"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457CC9E3"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8</w:t>
            </w:r>
          </w:p>
        </w:tc>
        <w:tc>
          <w:tcPr>
            <w:tcW w:w="743"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5F59EE3E"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1815A621"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9</w:t>
            </w:r>
          </w:p>
        </w:tc>
        <w:tc>
          <w:tcPr>
            <w:tcW w:w="742"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1192FF28"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Decile</w:t>
            </w:r>
          </w:p>
          <w:p w14:paraId="4F5359BA"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10</w:t>
            </w:r>
          </w:p>
        </w:tc>
        <w:tc>
          <w:tcPr>
            <w:tcW w:w="743"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4BA61740" w14:textId="77777777" w:rsidR="000308F3" w:rsidRPr="00C52CC8" w:rsidRDefault="000308F3" w:rsidP="00E75BA0">
            <w:pPr>
              <w:keepLines/>
              <w:jc w:val="center"/>
              <w:rPr>
                <w:rFonts w:ascii="Arial" w:eastAsia="Calibri" w:hAnsi="Arial" w:cs="Arial"/>
                <w:b/>
                <w:bCs/>
                <w:color w:val="000000" w:themeColor="text1"/>
                <w:sz w:val="16"/>
                <w:szCs w:val="16"/>
              </w:rPr>
            </w:pPr>
            <w:r w:rsidRPr="00C52CC8">
              <w:rPr>
                <w:rFonts w:ascii="Arial" w:eastAsia="Calibri" w:hAnsi="Arial" w:cs="Arial"/>
                <w:b/>
                <w:bCs/>
                <w:color w:val="000000" w:themeColor="text1"/>
                <w:sz w:val="16"/>
                <w:szCs w:val="16"/>
              </w:rPr>
              <w:t>Max</w:t>
            </w:r>
          </w:p>
        </w:tc>
      </w:tr>
      <w:tr w:rsidR="000308F3" w:rsidRPr="00C52CC8" w14:paraId="50C900EA" w14:textId="77777777" w:rsidTr="002957FD">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75A53169" w14:textId="77777777" w:rsidR="000308F3" w:rsidRPr="00C52CC8" w:rsidRDefault="000308F3" w:rsidP="00E75BA0">
            <w:pPr>
              <w:keepLines/>
              <w:rPr>
                <w:rFonts w:ascii="Arial" w:eastAsia="Calibri" w:hAnsi="Arial" w:cs="Arial"/>
                <w:sz w:val="16"/>
                <w:szCs w:val="16"/>
              </w:rPr>
            </w:pPr>
            <w:r w:rsidRPr="00C52CC8">
              <w:rPr>
                <w:rFonts w:ascii="Arial" w:eastAsia="Calibri" w:hAnsi="Arial" w:cs="Arial"/>
                <w:sz w:val="16"/>
                <w:szCs w:val="16"/>
              </w:rPr>
              <w:t>Mean Performance Score</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D658393"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39.8%</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A75971D"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11.9%</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C32FEEA"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20.5%</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B6A2682"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27.7%</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2541859"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31.4%</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F370758"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33.8%</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D217BEF"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35.5%</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89C45CF"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38.5%</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E2EE2B4"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42.6%</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7BBD853"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46.4%</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C66C630"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54.9%</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DCDF7B4"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65.6%</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1A48D2E"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79.4%</w:t>
            </w:r>
          </w:p>
        </w:tc>
      </w:tr>
      <w:tr w:rsidR="000308F3" w:rsidRPr="00C52CC8" w14:paraId="7C48E299" w14:textId="77777777" w:rsidTr="002957FD">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4A34FDBA" w14:textId="77777777" w:rsidR="000308F3" w:rsidRPr="00C52CC8" w:rsidRDefault="000308F3" w:rsidP="00E75BA0">
            <w:pPr>
              <w:keepLines/>
              <w:rPr>
                <w:rFonts w:ascii="Arial" w:eastAsia="Calibri" w:hAnsi="Arial" w:cs="Arial"/>
                <w:sz w:val="16"/>
                <w:szCs w:val="16"/>
              </w:rPr>
            </w:pPr>
            <w:r w:rsidRPr="00C52CC8">
              <w:rPr>
                <w:rFonts w:ascii="Arial" w:eastAsia="Calibri" w:hAnsi="Arial" w:cs="Arial"/>
                <w:sz w:val="16"/>
                <w:szCs w:val="16"/>
              </w:rPr>
              <w:t>N of Entities</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DF6B7E9"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109</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CFA62B4"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CA94D03"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5FC39B8"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83F0236"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444BE91"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C4F7832"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10</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FC306DB"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7EAE098"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10</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8B6E362"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12</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B3E2156"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91A819"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11</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3EAA857" w14:textId="77777777" w:rsidR="000308F3" w:rsidRPr="00FF143D" w:rsidRDefault="000308F3" w:rsidP="00E75BA0">
            <w:pPr>
              <w:keepLines/>
              <w:jc w:val="center"/>
              <w:rPr>
                <w:rFonts w:eastAsia="Calibri" w:cstheme="minorHAnsi"/>
                <w:sz w:val="18"/>
                <w:szCs w:val="18"/>
              </w:rPr>
            </w:pPr>
            <w:r w:rsidRPr="00FF143D">
              <w:rPr>
                <w:rFonts w:cstheme="minorHAnsi"/>
                <w:sz w:val="18"/>
                <w:szCs w:val="18"/>
              </w:rPr>
              <w:t>1</w:t>
            </w:r>
          </w:p>
        </w:tc>
      </w:tr>
      <w:tr w:rsidR="000308F3" w:rsidRPr="00C52CC8" w14:paraId="1E170555" w14:textId="77777777" w:rsidTr="002957FD">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132A1559" w14:textId="77777777" w:rsidR="000308F3" w:rsidRPr="00C52CC8" w:rsidRDefault="000308F3" w:rsidP="00E75BA0">
            <w:pPr>
              <w:keepNext/>
              <w:keepLines/>
              <w:rPr>
                <w:rFonts w:ascii="Arial" w:eastAsia="Calibri" w:hAnsi="Arial" w:cs="Arial"/>
                <w:sz w:val="16"/>
                <w:szCs w:val="16"/>
              </w:rPr>
            </w:pPr>
            <w:r w:rsidRPr="00C52CC8">
              <w:rPr>
                <w:rFonts w:ascii="Arial" w:eastAsia="Calibri" w:hAnsi="Arial" w:cs="Arial"/>
                <w:sz w:val="16"/>
                <w:szCs w:val="16"/>
              </w:rPr>
              <w:t>N of Persons / Encounters / Episodes</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081C448"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28238</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D53ECE7"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151</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7B41F3A"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2131</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41ECE96"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2407</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CE81426"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2899</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E59F6D4"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2958</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C5F1B21"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2520</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7A07B0F"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2982</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29DBF86"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4380</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8C93FB0"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3430</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B9D0BC4"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2494</w:t>
            </w:r>
          </w:p>
        </w:tc>
        <w:tc>
          <w:tcPr>
            <w:tcW w:w="74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2D94D52"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2037</w:t>
            </w:r>
          </w:p>
        </w:tc>
        <w:tc>
          <w:tcPr>
            <w:tcW w:w="74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5782B03" w14:textId="77777777" w:rsidR="000308F3" w:rsidRPr="00FF143D" w:rsidRDefault="000308F3" w:rsidP="00E75BA0">
            <w:pPr>
              <w:keepNext/>
              <w:keepLines/>
              <w:jc w:val="center"/>
              <w:rPr>
                <w:rFonts w:eastAsia="Calibri" w:cstheme="minorHAnsi"/>
                <w:sz w:val="18"/>
                <w:szCs w:val="18"/>
              </w:rPr>
            </w:pPr>
            <w:r w:rsidRPr="00FF143D">
              <w:rPr>
                <w:rFonts w:cstheme="minorHAnsi"/>
                <w:sz w:val="18"/>
                <w:szCs w:val="18"/>
              </w:rPr>
              <w:t>34</w:t>
            </w:r>
          </w:p>
        </w:tc>
      </w:tr>
      <w:bookmarkEnd w:id="13"/>
    </w:tbl>
    <w:p w14:paraId="74344F70" w14:textId="77777777" w:rsidR="000308F3" w:rsidRPr="00C52CC8" w:rsidRDefault="000308F3" w:rsidP="000308F3">
      <w:pPr>
        <w:pStyle w:val="BodyText"/>
        <w:spacing w:after="120"/>
        <w:rPr>
          <w:sz w:val="22"/>
          <w:szCs w:val="22"/>
        </w:rPr>
      </w:pPr>
    </w:p>
    <w:bookmarkEnd w:id="12"/>
    <w:p w14:paraId="15D8796C" w14:textId="77777777" w:rsidR="000308F3" w:rsidRPr="00005853" w:rsidRDefault="000308F3" w:rsidP="000308F3">
      <w:pPr>
        <w:pStyle w:val="BodyText"/>
        <w:rPr>
          <w:b/>
          <w:bCs/>
          <w:sz w:val="22"/>
          <w:szCs w:val="22"/>
        </w:rPr>
      </w:pPr>
    </w:p>
    <w:p w14:paraId="2CB6CFEB" w14:textId="77777777" w:rsidR="000308F3" w:rsidRPr="00005853" w:rsidRDefault="000308F3" w:rsidP="000308F3">
      <w:pPr>
        <w:pStyle w:val="BodyText"/>
        <w:rPr>
          <w:sz w:val="22"/>
          <w:szCs w:val="22"/>
        </w:rPr>
      </w:pPr>
      <w:r w:rsidRPr="00005853">
        <w:rPr>
          <w:noProof/>
        </w:rPr>
        <w:drawing>
          <wp:anchor distT="0" distB="0" distL="114300" distR="114300" simplePos="0" relativeHeight="251659264" behindDoc="0" locked="0" layoutInCell="1" allowOverlap="1" wp14:anchorId="355E3929" wp14:editId="7AC3A0B3">
            <wp:simplePos x="0" y="0"/>
            <wp:positionH relativeFrom="margin">
              <wp:align>center</wp:align>
            </wp:positionH>
            <wp:positionV relativeFrom="paragraph">
              <wp:posOffset>245745</wp:posOffset>
            </wp:positionV>
            <wp:extent cx="3739896" cy="3813048"/>
            <wp:effectExtent l="0" t="0" r="0" b="0"/>
            <wp:wrapTopAndBottom/>
            <wp:docPr id="759656362" name="Picture 1" descr="This graph shows the percentage of hospitalized patients with community-acquired pneumonia who received excess antibiotic duration across 109 VA healthcare systems. Excess duration ranges from 20% to 65%, with the majority of systems in the range of 30% to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56362" name="Picture 1" descr="This graph shows the percentage of hospitalized patients with community-acquired pneumonia who received excess antibiotic duration across 109 VA healthcare systems. Excess duration ranges from 20% to 65%, with the majority of systems in the range of 30% to 45%."/>
                    <pic:cNvPicPr/>
                  </pic:nvPicPr>
                  <pic:blipFill rotWithShape="1">
                    <a:blip r:embed="rId9">
                      <a:extLst>
                        <a:ext uri="{28A0092B-C50C-407E-A947-70E740481C1C}">
                          <a14:useLocalDpi xmlns:a14="http://schemas.microsoft.com/office/drawing/2010/main" val="0"/>
                        </a:ext>
                      </a:extLst>
                    </a:blip>
                    <a:srcRect l="7864" t="8222" r="4379" b="6122"/>
                    <a:stretch/>
                  </pic:blipFill>
                  <pic:spPr bwMode="auto">
                    <a:xfrm>
                      <a:off x="0" y="0"/>
                      <a:ext cx="3739896" cy="381304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C53403C" w14:textId="77777777" w:rsidR="000308F3" w:rsidRPr="00005853" w:rsidRDefault="000308F3" w:rsidP="000308F3">
      <w:pPr>
        <w:pStyle w:val="BodyText"/>
        <w:rPr>
          <w:noProof/>
        </w:rPr>
      </w:pPr>
    </w:p>
    <w:p w14:paraId="20D44425" w14:textId="77777777" w:rsidR="000308F3" w:rsidRPr="00005853" w:rsidRDefault="000308F3" w:rsidP="000308F3">
      <w:pPr>
        <w:pStyle w:val="BodyText"/>
        <w:rPr>
          <w:sz w:val="22"/>
          <w:szCs w:val="22"/>
        </w:rPr>
      </w:pPr>
    </w:p>
    <w:p w14:paraId="0A470D25" w14:textId="5AE18B6F" w:rsidR="000308F3" w:rsidRPr="002957FD" w:rsidRDefault="000308F3" w:rsidP="000308F3">
      <w:pPr>
        <w:pStyle w:val="BodyText"/>
        <w:spacing w:after="120"/>
        <w:rPr>
          <w:rFonts w:asciiTheme="minorHAnsi" w:hAnsiTheme="minorHAnsi"/>
          <w:sz w:val="22"/>
          <w:szCs w:val="22"/>
        </w:rPr>
      </w:pPr>
      <w:bookmarkStart w:id="14" w:name="_Hlk181113660"/>
      <w:r w:rsidRPr="00C84723">
        <w:rPr>
          <w:rFonts w:asciiTheme="minorHAnsi" w:hAnsiTheme="minorHAnsi"/>
          <w:b/>
          <w:bCs/>
          <w:sz w:val="22"/>
          <w:szCs w:val="22"/>
        </w:rPr>
        <w:t xml:space="preserve">Figure </w:t>
      </w:r>
      <w:r w:rsidR="002038D7" w:rsidRPr="00C84723">
        <w:rPr>
          <w:rFonts w:asciiTheme="minorHAnsi" w:hAnsiTheme="minorHAnsi"/>
          <w:b/>
          <w:bCs/>
          <w:sz w:val="22"/>
          <w:szCs w:val="22"/>
        </w:rPr>
        <w:t>2</w:t>
      </w:r>
      <w:r w:rsidRPr="00C84723">
        <w:rPr>
          <w:rFonts w:asciiTheme="minorHAnsi" w:hAnsiTheme="minorHAnsi"/>
          <w:b/>
          <w:bCs/>
          <w:sz w:val="22"/>
          <w:szCs w:val="22"/>
        </w:rPr>
        <w:t>.</w:t>
      </w:r>
      <w:r w:rsidRPr="00C84723">
        <w:rPr>
          <w:rFonts w:asciiTheme="minorHAnsi" w:hAnsiTheme="minorHAnsi"/>
          <w:sz w:val="22"/>
          <w:szCs w:val="22"/>
        </w:rPr>
        <w:t xml:space="preserve"> Percentage</w:t>
      </w:r>
      <w:r w:rsidRPr="002957FD">
        <w:rPr>
          <w:rFonts w:asciiTheme="minorHAnsi" w:hAnsiTheme="minorHAnsi"/>
          <w:sz w:val="22"/>
          <w:szCs w:val="22"/>
        </w:rPr>
        <w:t xml:space="preserve"> of patients hospitalized with CAP who received excess antibiotic duration (as defined by our proposed eCQM) across 109 VA </w:t>
      </w:r>
      <w:r w:rsidR="00EB6910">
        <w:rPr>
          <w:rFonts w:asciiTheme="minorHAnsi" w:hAnsiTheme="minorHAnsi"/>
          <w:sz w:val="22"/>
          <w:szCs w:val="22"/>
        </w:rPr>
        <w:t>hospitals</w:t>
      </w:r>
      <w:r w:rsidRPr="002957FD">
        <w:rPr>
          <w:rFonts w:asciiTheme="minorHAnsi" w:hAnsiTheme="minorHAnsi"/>
          <w:sz w:val="22"/>
          <w:szCs w:val="22"/>
        </w:rPr>
        <w:t xml:space="preserve"> </w:t>
      </w:r>
      <w:bookmarkStart w:id="15" w:name="_Hlk180661044"/>
      <w:r w:rsidRPr="002957FD">
        <w:rPr>
          <w:rFonts w:asciiTheme="minorHAnsi" w:hAnsiTheme="minorHAnsi"/>
          <w:sz w:val="22"/>
          <w:szCs w:val="22"/>
        </w:rPr>
        <w:t>(1/1/2022-6/30/2024)</w:t>
      </w:r>
      <w:bookmarkEnd w:id="15"/>
    </w:p>
    <w:p w14:paraId="62D005C7" w14:textId="4B05E365" w:rsidR="000308F3" w:rsidRPr="002957FD" w:rsidRDefault="000308F3" w:rsidP="000308F3">
      <w:pPr>
        <w:pStyle w:val="BodyText"/>
        <w:spacing w:after="120"/>
        <w:rPr>
          <w:rFonts w:asciiTheme="minorHAnsi" w:hAnsiTheme="minorHAnsi"/>
          <w:sz w:val="22"/>
          <w:szCs w:val="22"/>
        </w:rPr>
      </w:pPr>
      <w:bookmarkStart w:id="16" w:name="_Hlk181113688"/>
      <w:bookmarkEnd w:id="14"/>
      <w:r w:rsidRPr="002957FD">
        <w:rPr>
          <w:rFonts w:asciiTheme="minorHAnsi" w:hAnsiTheme="minorHAnsi"/>
          <w:sz w:val="22"/>
          <w:szCs w:val="22"/>
        </w:rPr>
        <w:t xml:space="preserve">Each row of the above caterpillar plot represents a single VA </w:t>
      </w:r>
      <w:r w:rsidR="00EB6910">
        <w:rPr>
          <w:rFonts w:asciiTheme="minorHAnsi" w:hAnsiTheme="minorHAnsi"/>
          <w:sz w:val="22"/>
          <w:szCs w:val="22"/>
        </w:rPr>
        <w:t>hospital</w:t>
      </w:r>
      <w:r w:rsidRPr="002957FD">
        <w:rPr>
          <w:rFonts w:asciiTheme="minorHAnsi" w:hAnsiTheme="minorHAnsi"/>
          <w:sz w:val="22"/>
          <w:szCs w:val="22"/>
        </w:rPr>
        <w:t xml:space="preserve"> with the raw (unadjusted) percentage in red and the estimated percentage from a mixed effects logistic model with </w:t>
      </w:r>
      <w:r w:rsidR="00412C87">
        <w:rPr>
          <w:rFonts w:asciiTheme="minorHAnsi" w:hAnsiTheme="minorHAnsi"/>
          <w:sz w:val="22"/>
          <w:szCs w:val="22"/>
        </w:rPr>
        <w:t>hospital</w:t>
      </w:r>
      <w:r w:rsidRPr="002957FD">
        <w:rPr>
          <w:rFonts w:asciiTheme="minorHAnsi" w:hAnsiTheme="minorHAnsi"/>
          <w:sz w:val="22"/>
          <w:szCs w:val="22"/>
        </w:rPr>
        <w:t xml:space="preserve"> random effects shown in blue (the bar represents the 95% confidence interval). Model-predicted estimates are shrunken towards the mean, meaning that the smaller the number of samples from a particular </w:t>
      </w:r>
      <w:r w:rsidR="00412C87">
        <w:rPr>
          <w:rFonts w:asciiTheme="minorHAnsi" w:hAnsiTheme="minorHAnsi"/>
          <w:sz w:val="22"/>
          <w:szCs w:val="22"/>
        </w:rPr>
        <w:t>hospital</w:t>
      </w:r>
      <w:r w:rsidRPr="002957FD">
        <w:rPr>
          <w:rFonts w:asciiTheme="minorHAnsi" w:hAnsiTheme="minorHAnsi"/>
          <w:sz w:val="22"/>
          <w:szCs w:val="22"/>
        </w:rPr>
        <w:t>, the more the estimate for that system is pulled toward the global mean.</w:t>
      </w:r>
    </w:p>
    <w:bookmarkEnd w:id="16"/>
    <w:p w14:paraId="617A8C1E" w14:textId="77777777" w:rsidR="000308F3" w:rsidRDefault="000308F3" w:rsidP="000308F3">
      <w:pPr>
        <w:spacing w:line="245" w:lineRule="auto"/>
        <w:rPr>
          <w:rFonts w:ascii="Arial" w:hAnsi="Arial" w:cs="Arial"/>
          <w:sz w:val="22"/>
          <w:szCs w:val="22"/>
        </w:rPr>
      </w:pPr>
    </w:p>
    <w:p w14:paraId="2F82457C" w14:textId="77777777" w:rsidR="009765A7" w:rsidRDefault="009765A7">
      <w:pPr>
        <w:rPr>
          <w:rFonts w:ascii="Arial" w:eastAsia="Arial" w:hAnsi="Arial" w:cs="Arial"/>
          <w:b/>
          <w:bCs/>
          <w:kern w:val="0"/>
          <w:sz w:val="22"/>
          <w:szCs w:val="22"/>
          <w:highlight w:val="yellow"/>
          <w14:ligatures w14:val="none"/>
        </w:rPr>
      </w:pPr>
      <w:r>
        <w:rPr>
          <w:b/>
          <w:bCs/>
          <w:sz w:val="22"/>
          <w:szCs w:val="22"/>
          <w:highlight w:val="yellow"/>
        </w:rPr>
        <w:br w:type="page"/>
      </w:r>
    </w:p>
    <w:p w14:paraId="1344EBEE" w14:textId="0F1E6B6D" w:rsidR="009765A7" w:rsidRPr="002957FD" w:rsidRDefault="009765A7" w:rsidP="009765A7">
      <w:pPr>
        <w:pStyle w:val="BodyText"/>
        <w:spacing w:after="120"/>
        <w:rPr>
          <w:rFonts w:ascii="Aptos" w:hAnsi="Aptos"/>
          <w:sz w:val="22"/>
          <w:szCs w:val="22"/>
        </w:rPr>
      </w:pPr>
      <w:r w:rsidRPr="00C84723">
        <w:rPr>
          <w:rFonts w:ascii="Aptos" w:hAnsi="Aptos"/>
          <w:b/>
          <w:bCs/>
          <w:sz w:val="22"/>
          <w:szCs w:val="22"/>
        </w:rPr>
        <w:lastRenderedPageBreak/>
        <w:t xml:space="preserve">Table </w:t>
      </w:r>
      <w:r w:rsidR="007D4F57" w:rsidRPr="00C84723">
        <w:rPr>
          <w:rFonts w:ascii="Aptos" w:hAnsi="Aptos"/>
          <w:b/>
          <w:bCs/>
          <w:sz w:val="22"/>
          <w:szCs w:val="22"/>
        </w:rPr>
        <w:t>10</w:t>
      </w:r>
      <w:r w:rsidRPr="00C84723">
        <w:rPr>
          <w:rFonts w:ascii="Aptos" w:hAnsi="Aptos"/>
          <w:b/>
          <w:bCs/>
          <w:sz w:val="22"/>
          <w:szCs w:val="22"/>
        </w:rPr>
        <w:t>.</w:t>
      </w:r>
      <w:r w:rsidRPr="00C84723">
        <w:rPr>
          <w:rFonts w:ascii="Aptos" w:hAnsi="Aptos"/>
          <w:sz w:val="22"/>
          <w:szCs w:val="22"/>
        </w:rPr>
        <w:t xml:space="preserve"> Excess</w:t>
      </w:r>
      <w:r w:rsidRPr="002957FD">
        <w:rPr>
          <w:rFonts w:ascii="Aptos" w:hAnsi="Aptos"/>
          <w:sz w:val="22"/>
          <w:szCs w:val="22"/>
        </w:rPr>
        <w:t xml:space="preserve"> Antibiotic Duration for Uncomplicated CAP Across Sites</w:t>
      </w:r>
    </w:p>
    <w:tbl>
      <w:tblPr>
        <w:tblStyle w:val="TableGrid"/>
        <w:tblW w:w="0" w:type="auto"/>
        <w:tblLook w:val="04A0" w:firstRow="1" w:lastRow="0" w:firstColumn="1" w:lastColumn="0" w:noHBand="0" w:noVBand="1"/>
        <w:tblCaption w:val="Table 5. Excess antibiotic duration for uncompliated CAP across sites"/>
        <w:tblDescription w:val="Median (interquartile range) for total, inpatient, and discharge antibiotic duration are presented for patients from 3 sites: Michigan, n=3417; Utah, n=313; and the VA healthcare system (n=28,238). The percentage of patients with excess antibiotic duration (&gt;=7 days total) was 54.5% for Michigan, 39.9% from Utah, and 39.8% for the VA. "/>
      </w:tblPr>
      <w:tblGrid>
        <w:gridCol w:w="5035"/>
        <w:gridCol w:w="1798"/>
        <w:gridCol w:w="1798"/>
        <w:gridCol w:w="1799"/>
      </w:tblGrid>
      <w:tr w:rsidR="009765A7" w:rsidRPr="002957FD" w14:paraId="7DFC753B" w14:textId="77777777" w:rsidTr="00E75BA0">
        <w:trPr>
          <w:cantSplit/>
          <w:tblHeader/>
        </w:trPr>
        <w:tc>
          <w:tcPr>
            <w:tcW w:w="5035" w:type="dxa"/>
            <w:vAlign w:val="center"/>
          </w:tcPr>
          <w:p w14:paraId="561BC2A1" w14:textId="77777777" w:rsidR="009765A7" w:rsidRPr="002957FD" w:rsidRDefault="009765A7" w:rsidP="00E75BA0">
            <w:pPr>
              <w:rPr>
                <w:rFonts w:ascii="Aptos" w:hAnsi="Aptos" w:cs="Arial"/>
                <w:b/>
                <w:bCs/>
              </w:rPr>
            </w:pPr>
            <w:r w:rsidRPr="002957FD">
              <w:rPr>
                <w:rFonts w:ascii="Aptos" w:hAnsi="Aptos" w:cs="Arial"/>
                <w:b/>
                <w:bCs/>
              </w:rPr>
              <w:t>*</w:t>
            </w:r>
          </w:p>
        </w:tc>
        <w:tc>
          <w:tcPr>
            <w:tcW w:w="1798" w:type="dxa"/>
            <w:vAlign w:val="center"/>
          </w:tcPr>
          <w:p w14:paraId="02068B09" w14:textId="77777777" w:rsidR="009765A7" w:rsidRPr="002957FD" w:rsidRDefault="009765A7" w:rsidP="00E75BA0">
            <w:pPr>
              <w:jc w:val="center"/>
              <w:rPr>
                <w:rFonts w:ascii="Aptos" w:hAnsi="Aptos" w:cs="Arial"/>
                <w:b/>
                <w:bCs/>
              </w:rPr>
            </w:pPr>
            <w:r w:rsidRPr="002957FD">
              <w:rPr>
                <w:rFonts w:ascii="Aptos" w:hAnsi="Aptos" w:cs="Arial"/>
                <w:b/>
                <w:bCs/>
              </w:rPr>
              <w:t>Michigan</w:t>
            </w:r>
          </w:p>
          <w:p w14:paraId="50108500" w14:textId="77777777" w:rsidR="009765A7" w:rsidRPr="002957FD" w:rsidRDefault="009765A7" w:rsidP="00E75BA0">
            <w:pPr>
              <w:jc w:val="center"/>
              <w:rPr>
                <w:rFonts w:ascii="Aptos" w:hAnsi="Aptos" w:cs="Arial"/>
              </w:rPr>
            </w:pPr>
            <w:r w:rsidRPr="002957FD">
              <w:rPr>
                <w:rFonts w:ascii="Aptos" w:hAnsi="Aptos" w:cs="Arial"/>
              </w:rPr>
              <w:t xml:space="preserve">9/29/2015-12/22/2021 </w:t>
            </w:r>
          </w:p>
          <w:p w14:paraId="24CB3BB4" w14:textId="77777777" w:rsidR="009765A7" w:rsidRPr="002957FD" w:rsidRDefault="009765A7" w:rsidP="00E75BA0">
            <w:pPr>
              <w:jc w:val="center"/>
              <w:rPr>
                <w:rFonts w:ascii="Aptos" w:hAnsi="Aptos" w:cs="Arial"/>
              </w:rPr>
            </w:pPr>
            <w:r w:rsidRPr="002957FD">
              <w:rPr>
                <w:rFonts w:ascii="Aptos" w:hAnsi="Aptos" w:cs="Arial"/>
              </w:rPr>
              <w:t>(n=3,417)</w:t>
            </w:r>
          </w:p>
        </w:tc>
        <w:tc>
          <w:tcPr>
            <w:tcW w:w="1798" w:type="dxa"/>
            <w:shd w:val="clear" w:color="auto" w:fill="auto"/>
            <w:vAlign w:val="center"/>
          </w:tcPr>
          <w:p w14:paraId="23BE25AF" w14:textId="77777777" w:rsidR="009765A7" w:rsidRPr="002957FD" w:rsidRDefault="009765A7" w:rsidP="00E75BA0">
            <w:pPr>
              <w:jc w:val="center"/>
              <w:rPr>
                <w:rFonts w:ascii="Aptos" w:hAnsi="Aptos" w:cs="Arial"/>
                <w:b/>
                <w:bCs/>
              </w:rPr>
            </w:pPr>
            <w:r w:rsidRPr="002957FD">
              <w:rPr>
                <w:rFonts w:ascii="Aptos" w:hAnsi="Aptos" w:cs="Arial"/>
                <w:b/>
                <w:bCs/>
              </w:rPr>
              <w:t xml:space="preserve">Utah </w:t>
            </w:r>
          </w:p>
          <w:p w14:paraId="50B87461" w14:textId="77777777" w:rsidR="009765A7" w:rsidRPr="002957FD" w:rsidRDefault="009765A7" w:rsidP="00E75BA0">
            <w:pPr>
              <w:jc w:val="center"/>
              <w:rPr>
                <w:rFonts w:ascii="Aptos" w:hAnsi="Aptos" w:cs="Arial"/>
              </w:rPr>
            </w:pPr>
            <w:r w:rsidRPr="002957FD">
              <w:rPr>
                <w:rFonts w:ascii="Aptos" w:hAnsi="Aptos" w:cs="Arial"/>
              </w:rPr>
              <w:t xml:space="preserve">1/1/2021-5/30/2022 </w:t>
            </w:r>
          </w:p>
          <w:p w14:paraId="4F5583DB" w14:textId="77777777" w:rsidR="009765A7" w:rsidRPr="002957FD" w:rsidRDefault="009765A7" w:rsidP="00E75BA0">
            <w:pPr>
              <w:jc w:val="center"/>
              <w:rPr>
                <w:rFonts w:ascii="Aptos" w:hAnsi="Aptos" w:cs="Arial"/>
              </w:rPr>
            </w:pPr>
            <w:r w:rsidRPr="002957FD">
              <w:rPr>
                <w:rFonts w:ascii="Aptos" w:hAnsi="Aptos" w:cs="Arial"/>
              </w:rPr>
              <w:t>(n=313)</w:t>
            </w:r>
          </w:p>
        </w:tc>
        <w:tc>
          <w:tcPr>
            <w:tcW w:w="1799" w:type="dxa"/>
            <w:shd w:val="clear" w:color="auto" w:fill="auto"/>
            <w:vAlign w:val="center"/>
          </w:tcPr>
          <w:p w14:paraId="1EB04180" w14:textId="77777777" w:rsidR="009765A7" w:rsidRPr="002957FD" w:rsidRDefault="009765A7" w:rsidP="00E75BA0">
            <w:pPr>
              <w:jc w:val="center"/>
              <w:rPr>
                <w:rFonts w:ascii="Aptos" w:hAnsi="Aptos" w:cs="Arial"/>
                <w:b/>
                <w:bCs/>
              </w:rPr>
            </w:pPr>
            <w:r w:rsidRPr="002957FD">
              <w:rPr>
                <w:rFonts w:ascii="Aptos" w:hAnsi="Aptos" w:cs="Arial"/>
                <w:b/>
                <w:bCs/>
              </w:rPr>
              <w:t>109 VA Health Care Systems</w:t>
            </w:r>
          </w:p>
          <w:p w14:paraId="6ACD9647" w14:textId="77777777" w:rsidR="009765A7" w:rsidRPr="002957FD" w:rsidRDefault="009765A7" w:rsidP="00E75BA0">
            <w:pPr>
              <w:jc w:val="center"/>
              <w:rPr>
                <w:rFonts w:ascii="Aptos" w:hAnsi="Aptos" w:cs="Arial"/>
              </w:rPr>
            </w:pPr>
            <w:r w:rsidRPr="002957FD">
              <w:rPr>
                <w:rFonts w:ascii="Aptos" w:hAnsi="Aptos" w:cs="Arial"/>
              </w:rPr>
              <w:t>1/1/2022-6/30/2024</w:t>
            </w:r>
          </w:p>
          <w:p w14:paraId="6C0B0645" w14:textId="77777777" w:rsidR="009765A7" w:rsidRPr="002957FD" w:rsidRDefault="009765A7" w:rsidP="00E75BA0">
            <w:pPr>
              <w:jc w:val="center"/>
              <w:rPr>
                <w:rFonts w:ascii="Aptos" w:hAnsi="Aptos" w:cs="Arial"/>
              </w:rPr>
            </w:pPr>
            <w:r w:rsidRPr="002957FD">
              <w:rPr>
                <w:rFonts w:ascii="Aptos" w:hAnsi="Aptos" w:cs="Arial"/>
              </w:rPr>
              <w:t>(n=28,238)</w:t>
            </w:r>
          </w:p>
        </w:tc>
      </w:tr>
      <w:tr w:rsidR="009765A7" w:rsidRPr="002957FD" w14:paraId="10593B7B" w14:textId="77777777" w:rsidTr="00E75BA0">
        <w:trPr>
          <w:cantSplit/>
        </w:trPr>
        <w:tc>
          <w:tcPr>
            <w:tcW w:w="5035" w:type="dxa"/>
            <w:vAlign w:val="center"/>
          </w:tcPr>
          <w:p w14:paraId="592A557D" w14:textId="77777777" w:rsidR="009765A7" w:rsidRPr="002957FD" w:rsidRDefault="009765A7" w:rsidP="00E75BA0">
            <w:pPr>
              <w:rPr>
                <w:rFonts w:ascii="Aptos" w:hAnsi="Aptos" w:cs="Arial"/>
                <w:b/>
                <w:bCs/>
              </w:rPr>
            </w:pPr>
            <w:r w:rsidRPr="002957FD">
              <w:rPr>
                <w:rFonts w:ascii="Aptos" w:hAnsi="Aptos" w:cs="Arial"/>
                <w:b/>
                <w:bCs/>
              </w:rPr>
              <w:t>Median (IQR) Total Days of Antibiotic Use</w:t>
            </w:r>
          </w:p>
        </w:tc>
        <w:tc>
          <w:tcPr>
            <w:tcW w:w="1798" w:type="dxa"/>
            <w:vAlign w:val="center"/>
          </w:tcPr>
          <w:p w14:paraId="481E7C65" w14:textId="77777777" w:rsidR="009765A7" w:rsidRPr="002957FD" w:rsidRDefault="009765A7" w:rsidP="00E75BA0">
            <w:pPr>
              <w:jc w:val="center"/>
              <w:rPr>
                <w:rFonts w:ascii="Aptos" w:hAnsi="Aptos" w:cs="Arial"/>
              </w:rPr>
            </w:pPr>
            <w:r w:rsidRPr="002957FD">
              <w:rPr>
                <w:rFonts w:ascii="Aptos" w:hAnsi="Aptos" w:cs="Arial"/>
              </w:rPr>
              <w:t>7 (5-8.5)</w:t>
            </w:r>
          </w:p>
        </w:tc>
        <w:tc>
          <w:tcPr>
            <w:tcW w:w="1798" w:type="dxa"/>
            <w:shd w:val="clear" w:color="auto" w:fill="auto"/>
            <w:vAlign w:val="center"/>
          </w:tcPr>
          <w:p w14:paraId="5496FC51" w14:textId="77777777" w:rsidR="009765A7" w:rsidRPr="002957FD" w:rsidRDefault="009765A7" w:rsidP="00E75BA0">
            <w:pPr>
              <w:jc w:val="center"/>
              <w:rPr>
                <w:rFonts w:ascii="Aptos" w:hAnsi="Aptos" w:cs="Arial"/>
              </w:rPr>
            </w:pPr>
            <w:r w:rsidRPr="002957FD">
              <w:rPr>
                <w:rFonts w:ascii="Aptos" w:hAnsi="Aptos" w:cs="Arial"/>
              </w:rPr>
              <w:t>6 (4-7)</w:t>
            </w:r>
          </w:p>
        </w:tc>
        <w:tc>
          <w:tcPr>
            <w:tcW w:w="1799" w:type="dxa"/>
            <w:shd w:val="clear" w:color="auto" w:fill="auto"/>
            <w:vAlign w:val="center"/>
          </w:tcPr>
          <w:p w14:paraId="3F5A9029" w14:textId="77777777" w:rsidR="009765A7" w:rsidRPr="002957FD" w:rsidRDefault="009765A7" w:rsidP="00E75BA0">
            <w:pPr>
              <w:jc w:val="center"/>
              <w:rPr>
                <w:rFonts w:ascii="Aptos" w:hAnsi="Aptos" w:cs="Arial"/>
              </w:rPr>
            </w:pPr>
            <w:r w:rsidRPr="002957FD">
              <w:rPr>
                <w:rFonts w:ascii="Aptos" w:hAnsi="Aptos" w:cs="Arial"/>
              </w:rPr>
              <w:t>6 (5-7)</w:t>
            </w:r>
          </w:p>
        </w:tc>
      </w:tr>
      <w:tr w:rsidR="009765A7" w:rsidRPr="002957FD" w14:paraId="26FABE19" w14:textId="77777777" w:rsidTr="00E75BA0">
        <w:trPr>
          <w:cantSplit/>
        </w:trPr>
        <w:tc>
          <w:tcPr>
            <w:tcW w:w="5035" w:type="dxa"/>
            <w:vAlign w:val="center"/>
          </w:tcPr>
          <w:p w14:paraId="4A4B9535" w14:textId="77777777" w:rsidR="009765A7" w:rsidRPr="002957FD" w:rsidRDefault="009765A7" w:rsidP="00E75BA0">
            <w:pPr>
              <w:ind w:left="340"/>
              <w:rPr>
                <w:rFonts w:ascii="Aptos" w:hAnsi="Aptos" w:cs="Arial"/>
              </w:rPr>
            </w:pPr>
            <w:r w:rsidRPr="002957FD">
              <w:rPr>
                <w:rFonts w:ascii="Aptos" w:hAnsi="Aptos" w:cs="Arial"/>
              </w:rPr>
              <w:t>Median (IQR) Inpatient Duration</w:t>
            </w:r>
          </w:p>
        </w:tc>
        <w:tc>
          <w:tcPr>
            <w:tcW w:w="1798" w:type="dxa"/>
            <w:vAlign w:val="center"/>
          </w:tcPr>
          <w:p w14:paraId="50A7DC95" w14:textId="77777777" w:rsidR="009765A7" w:rsidRPr="002957FD" w:rsidRDefault="009765A7" w:rsidP="00E75BA0">
            <w:pPr>
              <w:jc w:val="center"/>
              <w:rPr>
                <w:rFonts w:ascii="Aptos" w:hAnsi="Aptos" w:cs="Arial"/>
              </w:rPr>
            </w:pPr>
            <w:r w:rsidRPr="002957FD">
              <w:rPr>
                <w:rFonts w:ascii="Aptos" w:hAnsi="Aptos" w:cs="Arial"/>
              </w:rPr>
              <w:t>4 (3-5)</w:t>
            </w:r>
          </w:p>
        </w:tc>
        <w:tc>
          <w:tcPr>
            <w:tcW w:w="1798" w:type="dxa"/>
            <w:shd w:val="clear" w:color="auto" w:fill="auto"/>
            <w:vAlign w:val="center"/>
          </w:tcPr>
          <w:p w14:paraId="52C62129" w14:textId="77777777" w:rsidR="009765A7" w:rsidRPr="002957FD" w:rsidRDefault="009765A7" w:rsidP="00E75BA0">
            <w:pPr>
              <w:jc w:val="center"/>
              <w:rPr>
                <w:rFonts w:ascii="Aptos" w:hAnsi="Aptos" w:cs="Arial"/>
              </w:rPr>
            </w:pPr>
            <w:r w:rsidRPr="002957FD">
              <w:rPr>
                <w:rFonts w:ascii="Aptos" w:hAnsi="Aptos" w:cs="Arial"/>
              </w:rPr>
              <w:t>3 (3-5)</w:t>
            </w:r>
          </w:p>
        </w:tc>
        <w:tc>
          <w:tcPr>
            <w:tcW w:w="1799" w:type="dxa"/>
            <w:shd w:val="clear" w:color="auto" w:fill="auto"/>
            <w:vAlign w:val="center"/>
          </w:tcPr>
          <w:p w14:paraId="15F3045A" w14:textId="77777777" w:rsidR="009765A7" w:rsidRPr="002957FD" w:rsidRDefault="009765A7" w:rsidP="00E75BA0">
            <w:pPr>
              <w:jc w:val="center"/>
              <w:rPr>
                <w:rFonts w:ascii="Aptos" w:hAnsi="Aptos" w:cs="Arial"/>
              </w:rPr>
            </w:pPr>
            <w:r w:rsidRPr="002957FD">
              <w:rPr>
                <w:rFonts w:ascii="Aptos" w:hAnsi="Aptos" w:cs="Arial"/>
              </w:rPr>
              <w:t>4 (3-5)</w:t>
            </w:r>
          </w:p>
        </w:tc>
      </w:tr>
      <w:tr w:rsidR="009765A7" w:rsidRPr="002957FD" w14:paraId="0E5B1943" w14:textId="77777777" w:rsidTr="00E75BA0">
        <w:trPr>
          <w:cantSplit/>
        </w:trPr>
        <w:tc>
          <w:tcPr>
            <w:tcW w:w="5035" w:type="dxa"/>
            <w:vAlign w:val="center"/>
          </w:tcPr>
          <w:p w14:paraId="7C5B90E8" w14:textId="77777777" w:rsidR="009765A7" w:rsidRPr="002957FD" w:rsidRDefault="009765A7" w:rsidP="00E75BA0">
            <w:pPr>
              <w:ind w:left="340"/>
              <w:rPr>
                <w:rFonts w:ascii="Aptos" w:hAnsi="Aptos" w:cs="Arial"/>
              </w:rPr>
            </w:pPr>
            <w:r w:rsidRPr="002957FD">
              <w:rPr>
                <w:rFonts w:ascii="Aptos" w:hAnsi="Aptos" w:cs="Arial"/>
              </w:rPr>
              <w:t>Median (IQR) Discharge Duration (for those with duration &gt;0)</w:t>
            </w:r>
          </w:p>
        </w:tc>
        <w:tc>
          <w:tcPr>
            <w:tcW w:w="1798" w:type="dxa"/>
            <w:shd w:val="clear" w:color="auto" w:fill="auto"/>
            <w:vAlign w:val="center"/>
          </w:tcPr>
          <w:p w14:paraId="5FD30D97" w14:textId="77777777" w:rsidR="009765A7" w:rsidRPr="002957FD" w:rsidRDefault="009765A7" w:rsidP="00E75BA0">
            <w:pPr>
              <w:jc w:val="center"/>
              <w:rPr>
                <w:rFonts w:ascii="Aptos" w:hAnsi="Aptos" w:cs="Arial"/>
              </w:rPr>
            </w:pPr>
            <w:r w:rsidRPr="002957FD">
              <w:rPr>
                <w:rFonts w:ascii="Aptos" w:hAnsi="Aptos" w:cs="Arial"/>
              </w:rPr>
              <w:t>4 (3-5)</w:t>
            </w:r>
          </w:p>
        </w:tc>
        <w:tc>
          <w:tcPr>
            <w:tcW w:w="1798" w:type="dxa"/>
            <w:shd w:val="clear" w:color="auto" w:fill="auto"/>
            <w:vAlign w:val="center"/>
          </w:tcPr>
          <w:p w14:paraId="3EBD36B1" w14:textId="77777777" w:rsidR="009765A7" w:rsidRPr="002957FD" w:rsidRDefault="009765A7" w:rsidP="00E75BA0">
            <w:pPr>
              <w:jc w:val="center"/>
              <w:rPr>
                <w:rFonts w:ascii="Aptos" w:hAnsi="Aptos" w:cs="Arial"/>
              </w:rPr>
            </w:pPr>
            <w:r w:rsidRPr="002957FD">
              <w:rPr>
                <w:rFonts w:ascii="Aptos" w:hAnsi="Aptos" w:cs="Arial"/>
              </w:rPr>
              <w:t>4 (3-5)</w:t>
            </w:r>
          </w:p>
        </w:tc>
        <w:tc>
          <w:tcPr>
            <w:tcW w:w="1799" w:type="dxa"/>
            <w:shd w:val="clear" w:color="auto" w:fill="auto"/>
            <w:vAlign w:val="center"/>
          </w:tcPr>
          <w:p w14:paraId="7BE80029" w14:textId="77777777" w:rsidR="009765A7" w:rsidRPr="002957FD" w:rsidRDefault="009765A7" w:rsidP="00E75BA0">
            <w:pPr>
              <w:jc w:val="center"/>
              <w:rPr>
                <w:rFonts w:ascii="Aptos" w:hAnsi="Aptos" w:cs="Arial"/>
              </w:rPr>
            </w:pPr>
            <w:r w:rsidRPr="002957FD">
              <w:rPr>
                <w:rFonts w:ascii="Aptos" w:hAnsi="Aptos" w:cs="Arial"/>
              </w:rPr>
              <w:t>3 (2-5)</w:t>
            </w:r>
          </w:p>
        </w:tc>
      </w:tr>
      <w:tr w:rsidR="009765A7" w:rsidRPr="002957FD" w14:paraId="7E7D40D6" w14:textId="77777777" w:rsidTr="00E75BA0">
        <w:trPr>
          <w:cantSplit/>
        </w:trPr>
        <w:tc>
          <w:tcPr>
            <w:tcW w:w="5035" w:type="dxa"/>
            <w:vAlign w:val="center"/>
          </w:tcPr>
          <w:p w14:paraId="57E4D643" w14:textId="77777777" w:rsidR="009765A7" w:rsidRPr="002957FD" w:rsidRDefault="009765A7" w:rsidP="00E75BA0">
            <w:pPr>
              <w:rPr>
                <w:rFonts w:ascii="Aptos" w:hAnsi="Aptos" w:cs="Arial"/>
                <w:b/>
                <w:bCs/>
              </w:rPr>
            </w:pPr>
            <w:r w:rsidRPr="002957FD">
              <w:rPr>
                <w:rFonts w:ascii="Aptos" w:hAnsi="Aptos" w:cs="Arial"/>
                <w:b/>
                <w:bCs/>
              </w:rPr>
              <w:t xml:space="preserve">Had Excess Antibiotic duration (≥7 days total) </w:t>
            </w:r>
          </w:p>
        </w:tc>
        <w:tc>
          <w:tcPr>
            <w:tcW w:w="1798" w:type="dxa"/>
            <w:shd w:val="clear" w:color="auto" w:fill="auto"/>
            <w:vAlign w:val="center"/>
          </w:tcPr>
          <w:p w14:paraId="00FCA7A7" w14:textId="77777777" w:rsidR="009765A7" w:rsidRPr="002957FD" w:rsidRDefault="009765A7" w:rsidP="00E75BA0">
            <w:pPr>
              <w:jc w:val="center"/>
              <w:rPr>
                <w:rFonts w:ascii="Aptos" w:hAnsi="Aptos" w:cs="Arial"/>
              </w:rPr>
            </w:pPr>
            <w:r w:rsidRPr="002957FD">
              <w:rPr>
                <w:rFonts w:ascii="Aptos" w:hAnsi="Aptos" w:cs="Arial"/>
              </w:rPr>
              <w:t>1,861 (54.5%)</w:t>
            </w:r>
          </w:p>
        </w:tc>
        <w:tc>
          <w:tcPr>
            <w:tcW w:w="1798" w:type="dxa"/>
            <w:shd w:val="clear" w:color="auto" w:fill="auto"/>
            <w:vAlign w:val="center"/>
          </w:tcPr>
          <w:p w14:paraId="77B866F0" w14:textId="77777777" w:rsidR="009765A7" w:rsidRPr="002957FD" w:rsidRDefault="009765A7" w:rsidP="00E75BA0">
            <w:pPr>
              <w:jc w:val="center"/>
              <w:rPr>
                <w:rFonts w:ascii="Aptos" w:hAnsi="Aptos" w:cs="Arial"/>
              </w:rPr>
            </w:pPr>
            <w:r w:rsidRPr="002957FD">
              <w:rPr>
                <w:rFonts w:ascii="Aptos" w:hAnsi="Aptos" w:cs="Arial"/>
              </w:rPr>
              <w:t>125 (39.9%)</w:t>
            </w:r>
          </w:p>
        </w:tc>
        <w:tc>
          <w:tcPr>
            <w:tcW w:w="1799" w:type="dxa"/>
            <w:shd w:val="clear" w:color="auto" w:fill="auto"/>
            <w:vAlign w:val="center"/>
          </w:tcPr>
          <w:p w14:paraId="78520B02" w14:textId="77777777" w:rsidR="009765A7" w:rsidRPr="002957FD" w:rsidRDefault="009765A7" w:rsidP="00E75BA0">
            <w:pPr>
              <w:jc w:val="center"/>
              <w:rPr>
                <w:rFonts w:ascii="Aptos" w:hAnsi="Aptos" w:cs="Arial"/>
                <w:b/>
                <w:bCs/>
              </w:rPr>
            </w:pPr>
            <w:r w:rsidRPr="002957FD">
              <w:rPr>
                <w:rFonts w:ascii="Aptos" w:hAnsi="Aptos" w:cs="Arial"/>
              </w:rPr>
              <w:t>11,232 (39.8%)</w:t>
            </w:r>
          </w:p>
        </w:tc>
      </w:tr>
    </w:tbl>
    <w:p w14:paraId="262D4E5A" w14:textId="77777777" w:rsidR="009765A7" w:rsidRPr="002957FD" w:rsidRDefault="009765A7" w:rsidP="009765A7">
      <w:pPr>
        <w:pStyle w:val="BodyText"/>
        <w:rPr>
          <w:rFonts w:ascii="Aptos" w:hAnsi="Aptos"/>
          <w:sz w:val="22"/>
          <w:szCs w:val="22"/>
        </w:rPr>
      </w:pPr>
      <w:r w:rsidRPr="002957FD">
        <w:rPr>
          <w:rFonts w:ascii="Aptos" w:hAnsi="Aptos"/>
          <w:sz w:val="22"/>
          <w:szCs w:val="22"/>
        </w:rPr>
        <w:t>IQR, interquartile range</w:t>
      </w:r>
    </w:p>
    <w:p w14:paraId="332388DF" w14:textId="77777777" w:rsidR="009765A7" w:rsidRPr="002957FD" w:rsidRDefault="009765A7" w:rsidP="009765A7">
      <w:pPr>
        <w:spacing w:line="245" w:lineRule="auto"/>
        <w:rPr>
          <w:rFonts w:ascii="Aptos" w:hAnsi="Aptos" w:cs="Arial"/>
          <w:sz w:val="22"/>
          <w:szCs w:val="22"/>
        </w:rPr>
      </w:pPr>
      <w:r w:rsidRPr="002957FD">
        <w:rPr>
          <w:rFonts w:ascii="Aptos" w:hAnsi="Aptos" w:cs="Arial"/>
          <w:sz w:val="22"/>
          <w:szCs w:val="22"/>
        </w:rPr>
        <w:t>*</w:t>
      </w:r>
      <w:proofErr w:type="gramStart"/>
      <w:r w:rsidRPr="002957FD">
        <w:rPr>
          <w:rFonts w:ascii="Aptos" w:hAnsi="Aptos" w:cs="Arial"/>
          <w:sz w:val="22"/>
          <w:szCs w:val="22"/>
        </w:rPr>
        <w:t>cell</w:t>
      </w:r>
      <w:proofErr w:type="gramEnd"/>
      <w:r w:rsidRPr="002957FD">
        <w:rPr>
          <w:rFonts w:ascii="Aptos" w:hAnsi="Aptos" w:cs="Arial"/>
          <w:sz w:val="22"/>
          <w:szCs w:val="22"/>
        </w:rPr>
        <w:t xml:space="preserve"> intentionally left empty</w:t>
      </w:r>
    </w:p>
    <w:p w14:paraId="774AD562" w14:textId="77777777" w:rsidR="00FA4AB2" w:rsidRPr="002957FD" w:rsidRDefault="00FA4AB2">
      <w:pPr>
        <w:rPr>
          <w:rFonts w:ascii="Aptos" w:hAnsi="Aptos" w:cs="Arial"/>
          <w:b/>
          <w:bCs/>
          <w:sz w:val="22"/>
          <w:szCs w:val="22"/>
        </w:rPr>
      </w:pPr>
    </w:p>
    <w:p w14:paraId="20B7CE1F" w14:textId="77777777" w:rsidR="008644C9" w:rsidRDefault="008644C9" w:rsidP="00FA4AB2">
      <w:pPr>
        <w:pStyle w:val="NoSpacing"/>
        <w:rPr>
          <w:rFonts w:ascii="Aptos" w:hAnsi="Aptos" w:cs="Arial"/>
          <w:b/>
          <w:bCs/>
          <w:highlight w:val="yellow"/>
        </w:rPr>
      </w:pPr>
    </w:p>
    <w:p w14:paraId="0CE8FB74" w14:textId="46A0C524" w:rsidR="00FA4AB2" w:rsidRPr="002957FD" w:rsidRDefault="00FA4AB2" w:rsidP="00FA4AB2">
      <w:pPr>
        <w:pStyle w:val="NoSpacing"/>
        <w:rPr>
          <w:rFonts w:ascii="Aptos" w:hAnsi="Aptos" w:cs="Arial"/>
        </w:rPr>
      </w:pPr>
      <w:r w:rsidRPr="00C84723">
        <w:rPr>
          <w:rFonts w:ascii="Aptos" w:hAnsi="Aptos" w:cs="Arial"/>
          <w:b/>
          <w:bCs/>
        </w:rPr>
        <w:t xml:space="preserve">Table </w:t>
      </w:r>
      <w:r w:rsidR="007D4F57" w:rsidRPr="00C84723">
        <w:rPr>
          <w:rFonts w:ascii="Aptos" w:hAnsi="Aptos" w:cs="Arial"/>
          <w:b/>
          <w:bCs/>
        </w:rPr>
        <w:t>11</w:t>
      </w:r>
      <w:r w:rsidRPr="00C84723">
        <w:rPr>
          <w:rFonts w:ascii="Aptos" w:hAnsi="Aptos" w:cs="Arial"/>
          <w:b/>
          <w:bCs/>
        </w:rPr>
        <w:t>.</w:t>
      </w:r>
      <w:r w:rsidRPr="00C84723">
        <w:rPr>
          <w:rFonts w:ascii="Aptos" w:hAnsi="Aptos" w:cs="Arial"/>
        </w:rPr>
        <w:t xml:space="preserve"> Members</w:t>
      </w:r>
      <w:r w:rsidRPr="002957FD">
        <w:rPr>
          <w:rFonts w:ascii="Aptos" w:hAnsi="Aptos" w:cs="Arial"/>
        </w:rPr>
        <w:t xml:space="preserve"> of Technical Expert Panel (TEP) and the organizations they </w:t>
      </w:r>
      <w:proofErr w:type="gramStart"/>
      <w:r w:rsidRPr="002957FD">
        <w:rPr>
          <w:rFonts w:ascii="Aptos" w:hAnsi="Aptos" w:cs="Arial"/>
        </w:rPr>
        <w:t>represented</w:t>
      </w:r>
      <w:proofErr w:type="gramEnd"/>
    </w:p>
    <w:p w14:paraId="61034584" w14:textId="77777777" w:rsidR="00FA4AB2" w:rsidRPr="002957FD" w:rsidRDefault="00FA4AB2" w:rsidP="00FA4AB2">
      <w:pPr>
        <w:pStyle w:val="NoSpacing"/>
        <w:rPr>
          <w:rFonts w:ascii="Aptos" w:hAnsi="Aptos" w:cs="Arial"/>
        </w:rPr>
      </w:pPr>
    </w:p>
    <w:tbl>
      <w:tblPr>
        <w:tblStyle w:val="GridTable1Light"/>
        <w:tblW w:w="0" w:type="auto"/>
        <w:tblLook w:val="04A0" w:firstRow="1" w:lastRow="0" w:firstColumn="1" w:lastColumn="0" w:noHBand="0" w:noVBand="1"/>
        <w:tblCaption w:val="Table 4. Members of the technical expert panel (TEP) and their organizations"/>
        <w:tblDescription w:val="This table lists the 8 members of the TEP and the organizations they represented, including: the Infectious Disease Society of America, the Joint Commission, and the American Thoracic Society, among others."/>
      </w:tblPr>
      <w:tblGrid>
        <w:gridCol w:w="3955"/>
        <w:gridCol w:w="5940"/>
      </w:tblGrid>
      <w:tr w:rsidR="00FA4AB2" w:rsidRPr="002957FD" w14:paraId="66A6C51E" w14:textId="77777777" w:rsidTr="00E75BA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955" w:type="dxa"/>
            <w:vAlign w:val="center"/>
          </w:tcPr>
          <w:p w14:paraId="558EB184" w14:textId="77777777" w:rsidR="00FA4AB2" w:rsidRPr="002957FD" w:rsidRDefault="00FA4AB2" w:rsidP="00E75BA0">
            <w:pPr>
              <w:pStyle w:val="NoSpacing"/>
              <w:spacing w:line="264" w:lineRule="auto"/>
              <w:rPr>
                <w:rFonts w:ascii="Aptos" w:hAnsi="Aptos" w:cs="Arial"/>
              </w:rPr>
            </w:pPr>
            <w:r w:rsidRPr="002957FD">
              <w:rPr>
                <w:rFonts w:ascii="Aptos" w:hAnsi="Aptos" w:cs="Arial"/>
              </w:rPr>
              <w:t>Name</w:t>
            </w:r>
          </w:p>
        </w:tc>
        <w:tc>
          <w:tcPr>
            <w:tcW w:w="5940" w:type="dxa"/>
            <w:vAlign w:val="center"/>
          </w:tcPr>
          <w:p w14:paraId="5E3D099D" w14:textId="77777777" w:rsidR="00FA4AB2" w:rsidRPr="002957FD" w:rsidRDefault="00FA4AB2" w:rsidP="00E75BA0">
            <w:pPr>
              <w:pStyle w:val="NoSpacing"/>
              <w:spacing w:line="264" w:lineRule="auto"/>
              <w:cnfStyle w:val="100000000000" w:firstRow="1"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Organization</w:t>
            </w:r>
          </w:p>
        </w:tc>
      </w:tr>
      <w:tr w:rsidR="00FA4AB2" w:rsidRPr="002957FD" w14:paraId="1FF41D88"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26E4FE1F"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Julio Ramirez, MD</w:t>
            </w:r>
          </w:p>
        </w:tc>
        <w:tc>
          <w:tcPr>
            <w:tcW w:w="5940" w:type="dxa"/>
          </w:tcPr>
          <w:p w14:paraId="39F5A628"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Infectious Disease Society of America (IDSA)</w:t>
            </w:r>
          </w:p>
        </w:tc>
      </w:tr>
      <w:tr w:rsidR="00FA4AB2" w:rsidRPr="002957FD" w14:paraId="430C3B9B"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731DAB71"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Dan Morgan, MD, MS</w:t>
            </w:r>
          </w:p>
        </w:tc>
        <w:tc>
          <w:tcPr>
            <w:tcW w:w="5940" w:type="dxa"/>
          </w:tcPr>
          <w:p w14:paraId="5447015D"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Society of Healthcare of America (SHEA)</w:t>
            </w:r>
          </w:p>
        </w:tc>
      </w:tr>
      <w:tr w:rsidR="00FA4AB2" w:rsidRPr="002957FD" w14:paraId="14EEB581"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47577596"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Michelle Dardis, RN</w:t>
            </w:r>
          </w:p>
        </w:tc>
        <w:tc>
          <w:tcPr>
            <w:tcW w:w="5940" w:type="dxa"/>
          </w:tcPr>
          <w:p w14:paraId="0146D1E3"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The Joint Commission</w:t>
            </w:r>
          </w:p>
        </w:tc>
      </w:tr>
      <w:tr w:rsidR="00FA4AB2" w:rsidRPr="002957FD" w14:paraId="48F03544"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24B5C6A5"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Michael Pulia, MD, MS</w:t>
            </w:r>
          </w:p>
        </w:tc>
        <w:tc>
          <w:tcPr>
            <w:tcW w:w="5940" w:type="dxa"/>
          </w:tcPr>
          <w:p w14:paraId="6C92706F"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Emergency Medicine; University of Wisconsin Madison</w:t>
            </w:r>
          </w:p>
        </w:tc>
      </w:tr>
      <w:tr w:rsidR="00FA4AB2" w:rsidRPr="002957FD" w14:paraId="3A1E97E5"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42385954"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Marc Meyer, PharmD</w:t>
            </w:r>
          </w:p>
        </w:tc>
        <w:tc>
          <w:tcPr>
            <w:tcW w:w="5940" w:type="dxa"/>
          </w:tcPr>
          <w:p w14:paraId="06C7CD60"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American Society of Health-System Pharmacists (ASHP)</w:t>
            </w:r>
          </w:p>
        </w:tc>
      </w:tr>
      <w:tr w:rsidR="00FA4AB2" w:rsidRPr="002957FD" w14:paraId="2FEE0F7A"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42B5F2A0"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Jason Pogue, PharmD, BCPS, BCIDP</w:t>
            </w:r>
          </w:p>
        </w:tc>
        <w:tc>
          <w:tcPr>
            <w:tcW w:w="5940" w:type="dxa"/>
          </w:tcPr>
          <w:p w14:paraId="5929B413"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Society of Infectious Diseases Pharmacists (SIDP)</w:t>
            </w:r>
          </w:p>
        </w:tc>
      </w:tr>
      <w:tr w:rsidR="00FA4AB2" w:rsidRPr="002957FD" w14:paraId="2E47B9A5"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5AD4753D"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Kristina Crothers, MD</w:t>
            </w:r>
          </w:p>
        </w:tc>
        <w:tc>
          <w:tcPr>
            <w:tcW w:w="5940" w:type="dxa"/>
          </w:tcPr>
          <w:p w14:paraId="23A28EA9"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American Thoracic Society (ATS)</w:t>
            </w:r>
          </w:p>
        </w:tc>
      </w:tr>
      <w:tr w:rsidR="00FA4AB2" w:rsidRPr="002957FD" w14:paraId="6266D1D1" w14:textId="77777777" w:rsidTr="00E75BA0">
        <w:trPr>
          <w:cantSplit/>
          <w:trHeight w:val="230"/>
        </w:trPr>
        <w:tc>
          <w:tcPr>
            <w:cnfStyle w:val="001000000000" w:firstRow="0" w:lastRow="0" w:firstColumn="1" w:lastColumn="0" w:oddVBand="0" w:evenVBand="0" w:oddHBand="0" w:evenHBand="0" w:firstRowFirstColumn="0" w:firstRowLastColumn="0" w:lastRowFirstColumn="0" w:lastRowLastColumn="0"/>
            <w:tcW w:w="3955" w:type="dxa"/>
          </w:tcPr>
          <w:p w14:paraId="10A9B707" w14:textId="77777777" w:rsidR="00FA4AB2" w:rsidRPr="002957FD" w:rsidRDefault="00FA4AB2" w:rsidP="00E75BA0">
            <w:pPr>
              <w:pStyle w:val="NoSpacing"/>
              <w:spacing w:line="264" w:lineRule="auto"/>
              <w:rPr>
                <w:rFonts w:ascii="Aptos" w:hAnsi="Aptos" w:cs="Arial"/>
                <w:b w:val="0"/>
                <w:bCs w:val="0"/>
              </w:rPr>
            </w:pPr>
            <w:r w:rsidRPr="002957FD">
              <w:rPr>
                <w:rFonts w:ascii="Aptos" w:hAnsi="Aptos" w:cs="Arial"/>
                <w:b w:val="0"/>
                <w:bCs w:val="0"/>
              </w:rPr>
              <w:t>Mark Metersky, MD, FCCP, FACP</w:t>
            </w:r>
          </w:p>
        </w:tc>
        <w:tc>
          <w:tcPr>
            <w:tcW w:w="5940" w:type="dxa"/>
          </w:tcPr>
          <w:p w14:paraId="59DF30FA" w14:textId="77777777" w:rsidR="00FA4AB2" w:rsidRPr="002957FD" w:rsidRDefault="00FA4AB2" w:rsidP="00E75BA0">
            <w:pPr>
              <w:pStyle w:val="NoSpacing"/>
              <w:spacing w:line="264" w:lineRule="auto"/>
              <w:cnfStyle w:val="000000000000" w:firstRow="0" w:lastRow="0" w:firstColumn="0" w:lastColumn="0" w:oddVBand="0" w:evenVBand="0" w:oddHBand="0" w:evenHBand="0" w:firstRowFirstColumn="0" w:firstRowLastColumn="0" w:lastRowFirstColumn="0" w:lastRowLastColumn="0"/>
              <w:rPr>
                <w:rFonts w:ascii="Aptos" w:hAnsi="Aptos" w:cs="Arial"/>
              </w:rPr>
            </w:pPr>
            <w:r w:rsidRPr="002957FD">
              <w:rPr>
                <w:rFonts w:ascii="Aptos" w:hAnsi="Aptos" w:cs="Arial"/>
              </w:rPr>
              <w:t>American Thoracic Society (ATS)</w:t>
            </w:r>
          </w:p>
        </w:tc>
      </w:tr>
    </w:tbl>
    <w:p w14:paraId="67D1849B" w14:textId="77777777" w:rsidR="008A648E" w:rsidRPr="002957FD" w:rsidRDefault="008A648E">
      <w:pPr>
        <w:rPr>
          <w:rFonts w:ascii="Aptos" w:hAnsi="Aptos" w:cs="Arial"/>
          <w:b/>
          <w:bCs/>
          <w:sz w:val="22"/>
          <w:szCs w:val="22"/>
        </w:rPr>
      </w:pPr>
    </w:p>
    <w:p w14:paraId="1B625E03" w14:textId="77777777" w:rsidR="008644C9" w:rsidRDefault="008644C9">
      <w:pPr>
        <w:rPr>
          <w:rFonts w:ascii="Aptos" w:hAnsi="Aptos" w:cs="Arial"/>
          <w:b/>
          <w:bCs/>
          <w:sz w:val="22"/>
          <w:szCs w:val="22"/>
          <w:highlight w:val="yellow"/>
        </w:rPr>
      </w:pPr>
    </w:p>
    <w:p w14:paraId="6F7BB3C4" w14:textId="466B3F26" w:rsidR="00D24CE5" w:rsidRPr="002957FD" w:rsidRDefault="00D24CE5">
      <w:pPr>
        <w:rPr>
          <w:rFonts w:ascii="Aptos" w:hAnsi="Aptos" w:cs="Arial"/>
          <w:b/>
          <w:bCs/>
          <w:sz w:val="22"/>
          <w:szCs w:val="22"/>
        </w:rPr>
      </w:pPr>
      <w:r w:rsidRPr="00C84723">
        <w:rPr>
          <w:rFonts w:ascii="Aptos" w:hAnsi="Aptos" w:cs="Arial"/>
          <w:b/>
          <w:bCs/>
          <w:sz w:val="22"/>
          <w:szCs w:val="22"/>
        </w:rPr>
        <w:t xml:space="preserve">Table </w:t>
      </w:r>
      <w:r w:rsidR="00285C40" w:rsidRPr="00C84723">
        <w:rPr>
          <w:rFonts w:ascii="Aptos" w:hAnsi="Aptos" w:cs="Arial"/>
          <w:b/>
          <w:bCs/>
          <w:sz w:val="22"/>
          <w:szCs w:val="22"/>
        </w:rPr>
        <w:t>12</w:t>
      </w:r>
      <w:r w:rsidR="00F42892" w:rsidRPr="00C84723">
        <w:rPr>
          <w:rFonts w:ascii="Aptos" w:hAnsi="Aptos" w:cs="Arial"/>
          <w:b/>
          <w:bCs/>
          <w:sz w:val="22"/>
          <w:szCs w:val="22"/>
        </w:rPr>
        <w:t xml:space="preserve">. </w:t>
      </w:r>
      <w:r w:rsidR="00F42892" w:rsidRPr="00C84723">
        <w:rPr>
          <w:rFonts w:ascii="Aptos" w:hAnsi="Aptos" w:cs="Arial"/>
          <w:sz w:val="22"/>
          <w:szCs w:val="22"/>
        </w:rPr>
        <w:t>Parallel</w:t>
      </w:r>
      <w:r w:rsidR="00F42892" w:rsidRPr="002957FD">
        <w:rPr>
          <w:rFonts w:ascii="Aptos" w:hAnsi="Aptos" w:cs="Arial"/>
          <w:sz w:val="22"/>
          <w:szCs w:val="22"/>
        </w:rPr>
        <w:t xml:space="preserve"> Recommendations to ATS/IDSA CAP Clinical Guideline</w:t>
      </w:r>
      <w:r w:rsidR="00F42892" w:rsidRPr="002957FD">
        <w:rPr>
          <w:rFonts w:ascii="Aptos" w:hAnsi="Aptos" w:cs="Arial"/>
          <w:b/>
          <w:bCs/>
          <w:sz w:val="22"/>
          <w:szCs w:val="22"/>
        </w:rPr>
        <w:t xml:space="preserve"> </w:t>
      </w:r>
    </w:p>
    <w:p w14:paraId="56B4FCF4" w14:textId="77777777" w:rsidR="00F42892" w:rsidRPr="002957FD" w:rsidRDefault="00F42892">
      <w:pPr>
        <w:rPr>
          <w:rFonts w:ascii="Aptos" w:hAnsi="Aptos" w:cs="Arial"/>
          <w:b/>
          <w:bCs/>
          <w:sz w:val="22"/>
          <w:szCs w:val="22"/>
        </w:rPr>
      </w:pPr>
    </w:p>
    <w:tbl>
      <w:tblPr>
        <w:tblStyle w:val="TableGrid"/>
        <w:tblW w:w="0" w:type="auto"/>
        <w:tblLook w:val="04A0" w:firstRow="1" w:lastRow="0" w:firstColumn="1" w:lastColumn="0" w:noHBand="0" w:noVBand="1"/>
      </w:tblPr>
      <w:tblGrid>
        <w:gridCol w:w="5395"/>
        <w:gridCol w:w="5395"/>
      </w:tblGrid>
      <w:tr w:rsidR="00F42892" w14:paraId="728AAF52" w14:textId="77777777" w:rsidTr="00F42892">
        <w:tc>
          <w:tcPr>
            <w:tcW w:w="5395" w:type="dxa"/>
          </w:tcPr>
          <w:p w14:paraId="21CD52C0" w14:textId="7BCBC0DF" w:rsidR="00F42892" w:rsidRPr="002957FD" w:rsidRDefault="00F42892">
            <w:pPr>
              <w:rPr>
                <w:rFonts w:ascii="Aptos" w:hAnsi="Aptos" w:cs="Arial"/>
                <w:b/>
                <w:bCs/>
              </w:rPr>
            </w:pPr>
            <w:r w:rsidRPr="002957FD">
              <w:rPr>
                <w:rFonts w:ascii="Aptos" w:hAnsi="Aptos" w:cs="Arial"/>
                <w:b/>
                <w:bCs/>
              </w:rPr>
              <w:t>Guidance</w:t>
            </w:r>
          </w:p>
        </w:tc>
        <w:tc>
          <w:tcPr>
            <w:tcW w:w="5395" w:type="dxa"/>
          </w:tcPr>
          <w:p w14:paraId="5CEC5BCD" w14:textId="29B6047C" w:rsidR="00F42892" w:rsidRPr="002957FD" w:rsidRDefault="00F42892">
            <w:pPr>
              <w:rPr>
                <w:rFonts w:ascii="Aptos" w:hAnsi="Aptos" w:cs="Arial"/>
                <w:b/>
                <w:bCs/>
              </w:rPr>
            </w:pPr>
            <w:r w:rsidRPr="002957FD">
              <w:rPr>
                <w:rFonts w:ascii="Aptos" w:hAnsi="Aptos" w:cs="Arial"/>
                <w:b/>
                <w:bCs/>
              </w:rPr>
              <w:t>Reference</w:t>
            </w:r>
          </w:p>
        </w:tc>
      </w:tr>
      <w:tr w:rsidR="00F42892" w14:paraId="7E9A57F2" w14:textId="77777777" w:rsidTr="00F42892">
        <w:tc>
          <w:tcPr>
            <w:tcW w:w="5395" w:type="dxa"/>
          </w:tcPr>
          <w:p w14:paraId="4D74D38D" w14:textId="7B72422D" w:rsidR="00F42892" w:rsidRPr="002957FD" w:rsidRDefault="00E41947">
            <w:pPr>
              <w:rPr>
                <w:rFonts w:ascii="Aptos" w:hAnsi="Aptos" w:cs="Arial"/>
              </w:rPr>
            </w:pPr>
            <w:r w:rsidRPr="002957FD">
              <w:rPr>
                <w:rFonts w:ascii="Aptos" w:hAnsi="Aptos" w:cs="Arial"/>
              </w:rPr>
              <w:t>Centers for Disease Control and Prevention (</w:t>
            </w:r>
            <w:r w:rsidR="00F42892" w:rsidRPr="002957FD">
              <w:rPr>
                <w:rFonts w:ascii="Aptos" w:hAnsi="Aptos" w:cs="Arial"/>
              </w:rPr>
              <w:t>CDC</w:t>
            </w:r>
            <w:r w:rsidRPr="002957FD">
              <w:rPr>
                <w:rFonts w:ascii="Aptos" w:hAnsi="Aptos" w:cs="Arial"/>
              </w:rPr>
              <w:t>)</w:t>
            </w:r>
            <w:r w:rsidR="00F42892" w:rsidRPr="002957FD">
              <w:rPr>
                <w:rFonts w:ascii="Aptos" w:hAnsi="Aptos" w:cs="Arial"/>
              </w:rPr>
              <w:t xml:space="preserve"> recommends, “most cases of uncomplicated pneumonia can be treated for 5 days when a patient has a timely clinical response.”</w:t>
            </w:r>
          </w:p>
        </w:tc>
        <w:tc>
          <w:tcPr>
            <w:tcW w:w="5395" w:type="dxa"/>
          </w:tcPr>
          <w:p w14:paraId="15E49E51" w14:textId="0999A228" w:rsidR="00F42892" w:rsidRPr="002957FD" w:rsidRDefault="00F42892" w:rsidP="00F42892">
            <w:pPr>
              <w:pStyle w:val="EndNoteBibliography"/>
              <w:spacing w:after="0"/>
              <w:rPr>
                <w:rFonts w:ascii="Aptos" w:hAnsi="Aptos"/>
                <w:sz w:val="22"/>
              </w:rPr>
            </w:pPr>
            <w:r w:rsidRPr="002957FD">
              <w:rPr>
                <w:rFonts w:ascii="Aptos" w:hAnsi="Aptos"/>
                <w:sz w:val="22"/>
              </w:rPr>
              <w:t xml:space="preserve">CDC. Core Elements of Hospital Antibiotic Stewardship Programs. US Department of Health and Human Services. CDC. Accessed August 3, 2022. </w:t>
            </w:r>
            <w:hyperlink r:id="rId10" w:history="1">
              <w:r w:rsidRPr="002957FD">
                <w:rPr>
                  <w:rStyle w:val="Hyperlink"/>
                  <w:rFonts w:ascii="Aptos" w:hAnsi="Aptos"/>
                  <w:sz w:val="22"/>
                </w:rPr>
                <w:t>https://www.cdc.gov/antibiotic-use/healthcare/pdfs/hospital-core-elements-H.pdf</w:t>
              </w:r>
            </w:hyperlink>
          </w:p>
        </w:tc>
      </w:tr>
      <w:tr w:rsidR="00F42892" w14:paraId="7BC9DD2E" w14:textId="77777777" w:rsidTr="00F42892">
        <w:tc>
          <w:tcPr>
            <w:tcW w:w="5395" w:type="dxa"/>
          </w:tcPr>
          <w:p w14:paraId="022CECE8" w14:textId="68A6319C" w:rsidR="00F42892" w:rsidRPr="002957FD" w:rsidRDefault="00E41947">
            <w:pPr>
              <w:rPr>
                <w:rFonts w:ascii="Aptos" w:hAnsi="Aptos" w:cs="Arial"/>
              </w:rPr>
            </w:pPr>
            <w:r w:rsidRPr="002957FD">
              <w:rPr>
                <w:rFonts w:ascii="Aptos" w:hAnsi="Aptos" w:cs="Arial"/>
              </w:rPr>
              <w:t>Infectious Diseases Society of America (</w:t>
            </w:r>
            <w:r w:rsidR="00F42892" w:rsidRPr="002957FD">
              <w:rPr>
                <w:rFonts w:ascii="Aptos" w:hAnsi="Aptos" w:cs="Arial"/>
              </w:rPr>
              <w:t>IDSA</w:t>
            </w:r>
            <w:r w:rsidRPr="002957FD">
              <w:rPr>
                <w:rFonts w:ascii="Aptos" w:hAnsi="Aptos" w:cs="Arial"/>
              </w:rPr>
              <w:t>) Community-Acquired Pneumonia</w:t>
            </w:r>
            <w:r w:rsidR="00F42892" w:rsidRPr="002957FD">
              <w:rPr>
                <w:rFonts w:ascii="Aptos" w:hAnsi="Aptos" w:cs="Arial"/>
              </w:rPr>
              <w:t xml:space="preserve"> </w:t>
            </w:r>
            <w:r w:rsidRPr="002957FD">
              <w:rPr>
                <w:rFonts w:ascii="Aptos" w:hAnsi="Aptos" w:cs="Arial"/>
              </w:rPr>
              <w:t>(</w:t>
            </w:r>
            <w:r w:rsidR="00F42892" w:rsidRPr="002957FD">
              <w:rPr>
                <w:rFonts w:ascii="Aptos" w:hAnsi="Aptos" w:cs="Arial"/>
              </w:rPr>
              <w:t>CAP</w:t>
            </w:r>
            <w:r w:rsidRPr="002957FD">
              <w:rPr>
                <w:rFonts w:ascii="Aptos" w:hAnsi="Aptos" w:cs="Arial"/>
              </w:rPr>
              <w:t>)</w:t>
            </w:r>
            <w:r w:rsidR="00F42892" w:rsidRPr="002957FD">
              <w:rPr>
                <w:rFonts w:ascii="Aptos" w:hAnsi="Aptos" w:cs="Arial"/>
              </w:rPr>
              <w:t xml:space="preserve"> Clinical Pathway</w:t>
            </w:r>
            <w:r w:rsidRPr="002957FD">
              <w:rPr>
                <w:rFonts w:ascii="Aptos" w:hAnsi="Aptos" w:cs="Arial"/>
              </w:rPr>
              <w:t xml:space="preserve"> – clinical practice enhancement to the ATS/IDSA CAP clinical practice guideline.</w:t>
            </w:r>
          </w:p>
        </w:tc>
        <w:tc>
          <w:tcPr>
            <w:tcW w:w="5395" w:type="dxa"/>
          </w:tcPr>
          <w:p w14:paraId="10893BDA" w14:textId="600072FC" w:rsidR="00F42892" w:rsidRPr="002957FD" w:rsidRDefault="00F42892">
            <w:pPr>
              <w:rPr>
                <w:rFonts w:ascii="Aptos" w:hAnsi="Aptos" w:cs="Arial"/>
              </w:rPr>
            </w:pPr>
            <w:r w:rsidRPr="002957FD">
              <w:rPr>
                <w:rFonts w:ascii="Aptos" w:hAnsi="Aptos" w:cs="Arial"/>
              </w:rPr>
              <w:t xml:space="preserve">IDSA CAP Clinical Pathway. Accessed April 21, 2025. </w:t>
            </w:r>
            <w:hyperlink r:id="rId11" w:history="1">
              <w:r w:rsidRPr="002957FD">
                <w:rPr>
                  <w:rStyle w:val="Hyperlink"/>
                  <w:rFonts w:ascii="Aptos" w:hAnsi="Aptos" w:cs="Arial"/>
                </w:rPr>
                <w:t>https://www.idsociety.org/globalassets/idsa/practice-guidelines/community-acquired-pneumonia-in-adults/cap-clinical-pathway-final-online.pdf</w:t>
              </w:r>
            </w:hyperlink>
          </w:p>
        </w:tc>
      </w:tr>
    </w:tbl>
    <w:p w14:paraId="5773F217" w14:textId="77777777" w:rsidR="00F42892" w:rsidRPr="00D24CE5" w:rsidRDefault="00F42892">
      <w:pPr>
        <w:rPr>
          <w:rFonts w:ascii="Arial" w:hAnsi="Arial" w:cs="Arial"/>
          <w:sz w:val="22"/>
          <w:szCs w:val="22"/>
        </w:rPr>
      </w:pPr>
    </w:p>
    <w:p w14:paraId="2888DC12" w14:textId="77777777" w:rsidR="00D24CE5" w:rsidRDefault="00D24CE5">
      <w:pPr>
        <w:rPr>
          <w:rFonts w:ascii="Arial" w:hAnsi="Arial" w:cs="Arial"/>
          <w:b/>
          <w:bCs/>
          <w:sz w:val="22"/>
          <w:szCs w:val="22"/>
        </w:rPr>
      </w:pPr>
    </w:p>
    <w:p w14:paraId="02E2D771" w14:textId="77777777" w:rsidR="006B22E4" w:rsidRDefault="006B22E4">
      <w:pPr>
        <w:rPr>
          <w:rFonts w:ascii="Arial" w:hAnsi="Arial" w:cs="Arial"/>
          <w:b/>
          <w:bCs/>
          <w:sz w:val="22"/>
          <w:szCs w:val="22"/>
        </w:rPr>
      </w:pPr>
      <w:r>
        <w:rPr>
          <w:rFonts w:ascii="Arial" w:hAnsi="Arial" w:cs="Arial"/>
          <w:b/>
          <w:bCs/>
          <w:sz w:val="22"/>
          <w:szCs w:val="22"/>
        </w:rPr>
        <w:br w:type="page"/>
      </w:r>
    </w:p>
    <w:p w14:paraId="0E827932" w14:textId="0D5B4E98" w:rsidR="00D24CE5" w:rsidRDefault="00D24CE5">
      <w:pPr>
        <w:rPr>
          <w:rFonts w:ascii="Arial" w:hAnsi="Arial" w:cs="Arial"/>
          <w:b/>
          <w:bCs/>
          <w:sz w:val="22"/>
          <w:szCs w:val="22"/>
        </w:rPr>
      </w:pPr>
      <w:r>
        <w:rPr>
          <w:rFonts w:ascii="Arial" w:hAnsi="Arial" w:cs="Arial"/>
          <w:b/>
          <w:bCs/>
          <w:sz w:val="22"/>
          <w:szCs w:val="22"/>
        </w:rPr>
        <w:lastRenderedPageBreak/>
        <w:t xml:space="preserve">Additional Empirical Data Citations: </w:t>
      </w:r>
    </w:p>
    <w:p w14:paraId="6C11504F" w14:textId="77777777" w:rsidR="00D24CE5" w:rsidRPr="006B22E4" w:rsidRDefault="00D24CE5" w:rsidP="00D24CE5">
      <w:pPr>
        <w:rPr>
          <w:rFonts w:ascii="Arial" w:hAnsi="Arial" w:cs="Arial"/>
          <w:sz w:val="20"/>
          <w:szCs w:val="20"/>
        </w:rPr>
      </w:pPr>
    </w:p>
    <w:p w14:paraId="49949F42" w14:textId="1C1468FA" w:rsidR="006B22E4" w:rsidRPr="006B22E4" w:rsidRDefault="006B22E4" w:rsidP="006B22E4">
      <w:pPr>
        <w:rPr>
          <w:rFonts w:ascii="Arial" w:hAnsi="Arial" w:cs="Arial"/>
          <w:sz w:val="20"/>
          <w:szCs w:val="20"/>
        </w:rPr>
      </w:pPr>
      <w:r w:rsidRPr="006B22E4">
        <w:rPr>
          <w:rFonts w:ascii="Arial" w:hAnsi="Arial" w:cs="Arial"/>
          <w:sz w:val="20"/>
          <w:szCs w:val="20"/>
        </w:rPr>
        <w:t xml:space="preserve">Vaughn VM, Gandhi TN, Hofer TP, et al. A Statewide Collaborative Quality Initiative to Improve Antibiotic Duration and Outcomes in Patients Hospitalized </w:t>
      </w:r>
      <w:proofErr w:type="gramStart"/>
      <w:r w:rsidRPr="006B22E4">
        <w:rPr>
          <w:rFonts w:ascii="Arial" w:hAnsi="Arial" w:cs="Arial"/>
          <w:sz w:val="20"/>
          <w:szCs w:val="20"/>
        </w:rPr>
        <w:t>With</w:t>
      </w:r>
      <w:proofErr w:type="gramEnd"/>
      <w:r w:rsidRPr="006B22E4">
        <w:rPr>
          <w:rFonts w:ascii="Arial" w:hAnsi="Arial" w:cs="Arial"/>
          <w:sz w:val="20"/>
          <w:szCs w:val="20"/>
        </w:rPr>
        <w:t xml:space="preserve"> Uncomplicated Community-Acquired Pneumonia. </w:t>
      </w:r>
      <w:r w:rsidRPr="006B22E4">
        <w:rPr>
          <w:rFonts w:ascii="Arial" w:hAnsi="Arial" w:cs="Arial"/>
          <w:i/>
          <w:sz w:val="20"/>
          <w:szCs w:val="20"/>
        </w:rPr>
        <w:t>Clin Infect Dis</w:t>
      </w:r>
      <w:r w:rsidRPr="006B22E4">
        <w:rPr>
          <w:rFonts w:ascii="Arial" w:hAnsi="Arial" w:cs="Arial"/>
          <w:sz w:val="20"/>
          <w:szCs w:val="20"/>
        </w:rPr>
        <w:t>. Aug 31 2022;75(3):460-467. doi:10.1093/</w:t>
      </w:r>
      <w:proofErr w:type="spellStart"/>
      <w:r w:rsidRPr="006B22E4">
        <w:rPr>
          <w:rFonts w:ascii="Arial" w:hAnsi="Arial" w:cs="Arial"/>
          <w:sz w:val="20"/>
          <w:szCs w:val="20"/>
        </w:rPr>
        <w:t>cid</w:t>
      </w:r>
      <w:proofErr w:type="spellEnd"/>
      <w:r w:rsidRPr="006B22E4">
        <w:rPr>
          <w:rFonts w:ascii="Arial" w:hAnsi="Arial" w:cs="Arial"/>
          <w:sz w:val="20"/>
          <w:szCs w:val="20"/>
        </w:rPr>
        <w:t>/ciab950</w:t>
      </w:r>
    </w:p>
    <w:p w14:paraId="6A41AB4E" w14:textId="77777777" w:rsidR="00D24CE5" w:rsidRPr="006B22E4" w:rsidRDefault="00D24CE5" w:rsidP="00D24CE5">
      <w:pPr>
        <w:rPr>
          <w:rFonts w:ascii="Arial" w:hAnsi="Arial" w:cs="Arial"/>
          <w:sz w:val="20"/>
          <w:szCs w:val="20"/>
        </w:rPr>
      </w:pPr>
    </w:p>
    <w:p w14:paraId="54EEFBD1" w14:textId="75DA427C" w:rsidR="00D24CE5" w:rsidRPr="006B22E4" w:rsidRDefault="00D24CE5" w:rsidP="00D24CE5">
      <w:pPr>
        <w:rPr>
          <w:rFonts w:ascii="Arial" w:hAnsi="Arial" w:cs="Arial"/>
          <w:sz w:val="20"/>
          <w:szCs w:val="20"/>
        </w:rPr>
      </w:pPr>
      <w:r w:rsidRPr="006B22E4">
        <w:rPr>
          <w:rFonts w:ascii="Arial" w:hAnsi="Arial" w:cs="Arial"/>
          <w:sz w:val="20"/>
          <w:szCs w:val="20"/>
        </w:rPr>
        <w:t xml:space="preserve">Graber CJ, Jones MM, Goetz MB, et al. Decreases in Antimicrobial Use Associated </w:t>
      </w:r>
      <w:proofErr w:type="gramStart"/>
      <w:r w:rsidRPr="006B22E4">
        <w:rPr>
          <w:rFonts w:ascii="Arial" w:hAnsi="Arial" w:cs="Arial"/>
          <w:sz w:val="20"/>
          <w:szCs w:val="20"/>
        </w:rPr>
        <w:t>With</w:t>
      </w:r>
      <w:proofErr w:type="gramEnd"/>
      <w:r w:rsidRPr="006B22E4">
        <w:rPr>
          <w:rFonts w:ascii="Arial" w:hAnsi="Arial" w:cs="Arial"/>
          <w:sz w:val="20"/>
          <w:szCs w:val="20"/>
        </w:rPr>
        <w:t xml:space="preserve"> Multihospital Implementation of Electronic Antimicrobial Stewardship Tools. Clin Infect Dis. Aug 22 2020;71(5):1168-1176. doi:10.1093/</w:t>
      </w:r>
      <w:proofErr w:type="spellStart"/>
      <w:r w:rsidRPr="006B22E4">
        <w:rPr>
          <w:rFonts w:ascii="Arial" w:hAnsi="Arial" w:cs="Arial"/>
          <w:sz w:val="20"/>
          <w:szCs w:val="20"/>
        </w:rPr>
        <w:t>cid</w:t>
      </w:r>
      <w:proofErr w:type="spellEnd"/>
      <w:r w:rsidRPr="006B22E4">
        <w:rPr>
          <w:rFonts w:ascii="Arial" w:hAnsi="Arial" w:cs="Arial"/>
          <w:sz w:val="20"/>
          <w:szCs w:val="20"/>
        </w:rPr>
        <w:t>/ciz941</w:t>
      </w:r>
    </w:p>
    <w:p w14:paraId="6F3F6FAB" w14:textId="77777777" w:rsidR="00D24CE5" w:rsidRPr="006B22E4" w:rsidRDefault="00D24CE5" w:rsidP="00D24CE5">
      <w:pPr>
        <w:rPr>
          <w:rFonts w:ascii="Arial" w:hAnsi="Arial" w:cs="Arial"/>
          <w:sz w:val="20"/>
          <w:szCs w:val="20"/>
        </w:rPr>
      </w:pPr>
    </w:p>
    <w:p w14:paraId="6FABDECA" w14:textId="061B4B14" w:rsidR="00D24CE5" w:rsidRPr="006B22E4" w:rsidRDefault="00D24CE5" w:rsidP="00D24CE5">
      <w:pPr>
        <w:rPr>
          <w:rFonts w:ascii="Arial" w:hAnsi="Arial" w:cs="Arial"/>
          <w:sz w:val="20"/>
          <w:szCs w:val="20"/>
        </w:rPr>
      </w:pPr>
      <w:r w:rsidRPr="006B22E4">
        <w:rPr>
          <w:rFonts w:ascii="Arial" w:hAnsi="Arial" w:cs="Arial"/>
          <w:sz w:val="20"/>
          <w:szCs w:val="20"/>
        </w:rPr>
        <w:t xml:space="preserve">Kelly AA, Jones MM, Echevarria KL, et al. A Report </w:t>
      </w:r>
      <w:proofErr w:type="gramStart"/>
      <w:r w:rsidRPr="006B22E4">
        <w:rPr>
          <w:rFonts w:ascii="Arial" w:hAnsi="Arial" w:cs="Arial"/>
          <w:sz w:val="20"/>
          <w:szCs w:val="20"/>
        </w:rPr>
        <w:t>of</w:t>
      </w:r>
      <w:proofErr w:type="gramEnd"/>
      <w:r w:rsidRPr="006B22E4">
        <w:rPr>
          <w:rFonts w:ascii="Arial" w:hAnsi="Arial" w:cs="Arial"/>
          <w:sz w:val="20"/>
          <w:szCs w:val="20"/>
        </w:rPr>
        <w:t xml:space="preserve"> the Efforts of the Veterans Health Administration National Antimicrobial Stewardship Initiative. Infect Control Hosp Epidemiol. May 2017;38(5):513-520. doi:10.1017/ice.2016.328</w:t>
      </w:r>
    </w:p>
    <w:p w14:paraId="2F8EEC56" w14:textId="77777777" w:rsidR="00D24CE5" w:rsidRPr="006B22E4" w:rsidRDefault="00D24CE5" w:rsidP="00D24CE5">
      <w:pPr>
        <w:rPr>
          <w:rFonts w:ascii="Arial" w:hAnsi="Arial" w:cs="Arial"/>
          <w:sz w:val="20"/>
          <w:szCs w:val="20"/>
        </w:rPr>
      </w:pPr>
    </w:p>
    <w:p w14:paraId="70C858C3" w14:textId="71AE1F7F" w:rsidR="00D24CE5" w:rsidRPr="006B22E4" w:rsidRDefault="00D24CE5" w:rsidP="00D24CE5">
      <w:pPr>
        <w:rPr>
          <w:rFonts w:ascii="Arial" w:hAnsi="Arial" w:cs="Arial"/>
          <w:sz w:val="20"/>
          <w:szCs w:val="20"/>
        </w:rPr>
      </w:pPr>
      <w:r w:rsidRPr="006B22E4">
        <w:rPr>
          <w:rFonts w:ascii="Arial" w:hAnsi="Arial" w:cs="Arial"/>
          <w:sz w:val="20"/>
          <w:szCs w:val="20"/>
        </w:rPr>
        <w:t>Goetz MB, Willson T, Rubin MA, Stevens VW, Graber CJ. Antimicrobial use before and during COVID-19: data from 108 Veterans Affairs medical centers. Antimicrobial Stewardship &amp; Healthcare Epidemiology. 2024;4(1):e109. e109. doi:10.1017/ash.2024.352</w:t>
      </w:r>
    </w:p>
    <w:p w14:paraId="5CB440DC" w14:textId="77777777" w:rsidR="006B22E4" w:rsidRDefault="006B22E4">
      <w:pPr>
        <w:rPr>
          <w:rFonts w:ascii="Arial" w:hAnsi="Arial" w:cs="Arial"/>
          <w:sz w:val="20"/>
          <w:szCs w:val="20"/>
        </w:rPr>
      </w:pPr>
    </w:p>
    <w:p w14:paraId="0A290FE4" w14:textId="1CDF849E" w:rsidR="006B22E4" w:rsidRDefault="006B22E4" w:rsidP="006B22E4">
      <w:pPr>
        <w:rPr>
          <w:rFonts w:ascii="Arial" w:hAnsi="Arial" w:cs="Arial"/>
          <w:sz w:val="20"/>
          <w:szCs w:val="20"/>
        </w:rPr>
      </w:pPr>
      <w:r w:rsidRPr="006B22E4">
        <w:rPr>
          <w:rFonts w:ascii="Arial" w:hAnsi="Arial" w:cs="Arial"/>
          <w:sz w:val="20"/>
          <w:szCs w:val="20"/>
        </w:rPr>
        <w:t xml:space="preserve">Dinh A, Ropers J, Duran C, et al. Discontinuing β-lactam treatment after 3 days for patients with community-acquired pneumonia in non-critical care wards (PTC): a double-blind, </w:t>
      </w:r>
      <w:proofErr w:type="spellStart"/>
      <w:r w:rsidRPr="006B22E4">
        <w:rPr>
          <w:rFonts w:ascii="Arial" w:hAnsi="Arial" w:cs="Arial"/>
          <w:sz w:val="20"/>
          <w:szCs w:val="20"/>
        </w:rPr>
        <w:t>randomised</w:t>
      </w:r>
      <w:proofErr w:type="spellEnd"/>
      <w:r w:rsidRPr="006B22E4">
        <w:rPr>
          <w:rFonts w:ascii="Arial" w:hAnsi="Arial" w:cs="Arial"/>
          <w:sz w:val="20"/>
          <w:szCs w:val="20"/>
        </w:rPr>
        <w:t>, placebo-controlled, non-inferiority trial. Lancet. Mar 27 2021;397(10280):1195-1203. doi:10.1016/s0140-6736(21)00313-5</w:t>
      </w:r>
    </w:p>
    <w:p w14:paraId="64535ABE" w14:textId="77777777" w:rsidR="006B22E4" w:rsidRPr="006B22E4" w:rsidRDefault="006B22E4" w:rsidP="006B22E4">
      <w:pPr>
        <w:rPr>
          <w:rFonts w:ascii="Arial" w:hAnsi="Arial" w:cs="Arial"/>
          <w:sz w:val="20"/>
          <w:szCs w:val="20"/>
        </w:rPr>
      </w:pPr>
    </w:p>
    <w:p w14:paraId="6CCD1EB6" w14:textId="4719DA13" w:rsidR="006B22E4" w:rsidRDefault="006B22E4" w:rsidP="006B22E4">
      <w:pPr>
        <w:rPr>
          <w:rFonts w:ascii="Arial" w:hAnsi="Arial" w:cs="Arial"/>
          <w:sz w:val="20"/>
          <w:szCs w:val="20"/>
        </w:rPr>
      </w:pPr>
      <w:r w:rsidRPr="006B22E4">
        <w:rPr>
          <w:rFonts w:ascii="Arial" w:hAnsi="Arial" w:cs="Arial"/>
          <w:sz w:val="20"/>
          <w:szCs w:val="20"/>
        </w:rPr>
        <w:t>Uranga A, Espana PP, Bilbao A, et al. Duration of Antibiotic Treatment in Community-Acquired Pneumonia: A Multicenter Randomized Clinical Trial. JAMA Intern Med. Sep 1 2016;176(9):1257-65. doi:10.1001/jamainternmed.2016.3633</w:t>
      </w:r>
    </w:p>
    <w:p w14:paraId="14201758" w14:textId="77777777" w:rsidR="006B22E4" w:rsidRPr="006B22E4" w:rsidRDefault="006B22E4" w:rsidP="006B22E4">
      <w:pPr>
        <w:rPr>
          <w:rFonts w:ascii="Arial" w:hAnsi="Arial" w:cs="Arial"/>
          <w:sz w:val="20"/>
          <w:szCs w:val="20"/>
        </w:rPr>
      </w:pPr>
    </w:p>
    <w:p w14:paraId="2E2C3BC0" w14:textId="571A07C5" w:rsidR="006B22E4" w:rsidRPr="006B22E4" w:rsidRDefault="006B22E4" w:rsidP="006B22E4">
      <w:pPr>
        <w:rPr>
          <w:rFonts w:ascii="Arial" w:hAnsi="Arial" w:cs="Arial"/>
          <w:sz w:val="20"/>
          <w:szCs w:val="20"/>
        </w:rPr>
      </w:pPr>
      <w:r w:rsidRPr="006B22E4">
        <w:rPr>
          <w:rFonts w:ascii="Arial" w:hAnsi="Arial" w:cs="Arial"/>
          <w:sz w:val="20"/>
          <w:szCs w:val="20"/>
        </w:rPr>
        <w:t xml:space="preserve">Vaughn VM, Flanders SA, Snyder A, et al. Excess Antibiotic Treatment Duration and Adverse Events in Patients Hospitalized with Pneumonia: A Multihospital Cohort Study. </w:t>
      </w:r>
      <w:r w:rsidRPr="006B22E4">
        <w:rPr>
          <w:rFonts w:ascii="Arial" w:hAnsi="Arial" w:cs="Arial"/>
          <w:i/>
          <w:sz w:val="20"/>
          <w:szCs w:val="20"/>
        </w:rPr>
        <w:t>Annals of internal medicine</w:t>
      </w:r>
      <w:r w:rsidRPr="006B22E4">
        <w:rPr>
          <w:rFonts w:ascii="Arial" w:hAnsi="Arial" w:cs="Arial"/>
          <w:sz w:val="20"/>
          <w:szCs w:val="20"/>
        </w:rPr>
        <w:t>. Aug 6 2019;171(3):153-163. doi:10.7326/M18-3640</w:t>
      </w:r>
    </w:p>
    <w:p w14:paraId="376B80F4" w14:textId="0D4CF734" w:rsidR="00D10388" w:rsidRPr="006B22E4" w:rsidRDefault="00D10388">
      <w:pPr>
        <w:rPr>
          <w:rFonts w:ascii="Arial" w:hAnsi="Arial" w:cs="Arial"/>
          <w:sz w:val="20"/>
          <w:szCs w:val="20"/>
        </w:rPr>
      </w:pPr>
      <w:r w:rsidRPr="006B22E4">
        <w:rPr>
          <w:rFonts w:ascii="Arial" w:hAnsi="Arial" w:cs="Arial"/>
          <w:sz w:val="20"/>
          <w:szCs w:val="20"/>
        </w:rPr>
        <w:br w:type="page"/>
      </w:r>
    </w:p>
    <w:p w14:paraId="00A1E0CA" w14:textId="77777777" w:rsidR="00341E4D" w:rsidRDefault="00341E4D" w:rsidP="00341E4D">
      <w:pPr>
        <w:pStyle w:val="BodyText"/>
        <w:rPr>
          <w:b/>
          <w:bCs/>
          <w:sz w:val="22"/>
          <w:szCs w:val="22"/>
        </w:rPr>
      </w:pPr>
      <w:r w:rsidRPr="00005853">
        <w:rPr>
          <w:noProof/>
        </w:rPr>
        <w:lastRenderedPageBreak/>
        <w:drawing>
          <wp:anchor distT="0" distB="0" distL="114300" distR="114300" simplePos="0" relativeHeight="251661312" behindDoc="0" locked="0" layoutInCell="1" allowOverlap="1" wp14:anchorId="46691581" wp14:editId="486AD4A6">
            <wp:simplePos x="0" y="0"/>
            <wp:positionH relativeFrom="column">
              <wp:posOffset>15240</wp:posOffset>
            </wp:positionH>
            <wp:positionV relativeFrom="paragraph">
              <wp:posOffset>271780</wp:posOffset>
            </wp:positionV>
            <wp:extent cx="4983480" cy="2567940"/>
            <wp:effectExtent l="0" t="0" r="7620" b="3810"/>
            <wp:wrapTopAndBottom/>
            <wp:docPr id="2119424998" name="Picture 1" descr="This bar graph illustrates mean duration of antibiotic therapy for patients hospitalized with community-acquired pneumonia cross the VA healthcare system. From 2015 to 2019, mean duration decreased from 8.5 to 7.0 days and remained steady through early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4998" name="Picture 1" descr="This bar graph illustrates mean duration of antibiotic therapy for patients hospitalized with community-acquired pneumonia cross the VA healthcare system. From 2015 to 2019, mean duration decreased from 8.5 to 7.0 days and remained steady through early 202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96" t="2823" r="873" b="2092"/>
                    <a:stretch/>
                  </pic:blipFill>
                  <pic:spPr bwMode="auto">
                    <a:xfrm>
                      <a:off x="0" y="0"/>
                      <a:ext cx="4983480" cy="25679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05853">
        <w:rPr>
          <w:b/>
          <w:bCs/>
          <w:sz w:val="22"/>
          <w:szCs w:val="22"/>
        </w:rPr>
        <w:t>Section 2.3 Anticipated Impact</w:t>
      </w:r>
    </w:p>
    <w:p w14:paraId="5D395CE7" w14:textId="77777777" w:rsidR="00341E4D" w:rsidRPr="00005853" w:rsidRDefault="00341E4D" w:rsidP="00341E4D">
      <w:pPr>
        <w:pStyle w:val="BodyText"/>
        <w:rPr>
          <w:b/>
          <w:bCs/>
          <w:sz w:val="22"/>
          <w:szCs w:val="22"/>
        </w:rPr>
      </w:pPr>
    </w:p>
    <w:p w14:paraId="7CADFA9C" w14:textId="77777777" w:rsidR="00341E4D" w:rsidRPr="00005853" w:rsidRDefault="00341E4D" w:rsidP="00341E4D">
      <w:pPr>
        <w:pStyle w:val="BodyText"/>
        <w:rPr>
          <w:noProof/>
        </w:rPr>
      </w:pPr>
    </w:p>
    <w:p w14:paraId="39741F2B" w14:textId="6ADCCE2B" w:rsidR="00341E4D" w:rsidRPr="00005853" w:rsidRDefault="00341E4D" w:rsidP="00341E4D">
      <w:pPr>
        <w:pStyle w:val="BodyText"/>
        <w:rPr>
          <w:sz w:val="22"/>
          <w:szCs w:val="22"/>
        </w:rPr>
      </w:pPr>
      <w:r w:rsidRPr="00C84723">
        <w:rPr>
          <w:b/>
          <w:bCs/>
          <w:sz w:val="22"/>
          <w:szCs w:val="22"/>
        </w:rPr>
        <w:t xml:space="preserve">Figure </w:t>
      </w:r>
      <w:r w:rsidR="009865B5" w:rsidRPr="00C84723">
        <w:rPr>
          <w:b/>
          <w:bCs/>
          <w:sz w:val="22"/>
          <w:szCs w:val="22"/>
        </w:rPr>
        <w:t>3</w:t>
      </w:r>
      <w:r w:rsidRPr="00C84723">
        <w:rPr>
          <w:b/>
          <w:bCs/>
          <w:sz w:val="22"/>
          <w:szCs w:val="22"/>
        </w:rPr>
        <w:t>.</w:t>
      </w:r>
      <w:r w:rsidRPr="00C84723">
        <w:rPr>
          <w:sz w:val="22"/>
          <w:szCs w:val="22"/>
        </w:rPr>
        <w:t xml:space="preserve"> Decreases</w:t>
      </w:r>
      <w:r w:rsidRPr="00005853">
        <w:rPr>
          <w:sz w:val="22"/>
          <w:szCs w:val="22"/>
        </w:rPr>
        <w:t xml:space="preserve"> in </w:t>
      </w:r>
      <w:proofErr w:type="gramStart"/>
      <w:r w:rsidRPr="00005853">
        <w:rPr>
          <w:sz w:val="22"/>
          <w:szCs w:val="22"/>
        </w:rPr>
        <w:t>mean</w:t>
      </w:r>
      <w:proofErr w:type="gramEnd"/>
      <w:r w:rsidRPr="00005853">
        <w:rPr>
          <w:sz w:val="22"/>
          <w:szCs w:val="22"/>
        </w:rPr>
        <w:t xml:space="preserve"> antibiotic duration of therapy for patients hospitalized with community-acquired pneumonia across the VA health</w:t>
      </w:r>
      <w:r>
        <w:rPr>
          <w:sz w:val="22"/>
          <w:szCs w:val="22"/>
        </w:rPr>
        <w:t xml:space="preserve"> </w:t>
      </w:r>
      <w:r w:rsidRPr="00005853">
        <w:rPr>
          <w:sz w:val="22"/>
          <w:szCs w:val="22"/>
        </w:rPr>
        <w:t>care system, from 2015 to early 2024.</w:t>
      </w:r>
    </w:p>
    <w:p w14:paraId="36DC8F0F" w14:textId="77777777" w:rsidR="00341E4D" w:rsidRPr="00005853" w:rsidRDefault="00341E4D" w:rsidP="00341E4D">
      <w:pPr>
        <w:pStyle w:val="BodyText"/>
        <w:rPr>
          <w:sz w:val="22"/>
          <w:szCs w:val="22"/>
        </w:rPr>
      </w:pPr>
    </w:p>
    <w:p w14:paraId="71227A3A" w14:textId="77777777" w:rsidR="002C73E9" w:rsidRDefault="002C73E9">
      <w:pPr>
        <w:rPr>
          <w:rFonts w:ascii="Arial" w:hAnsi="Arial" w:cs="Arial"/>
          <w:b/>
          <w:bCs/>
          <w:sz w:val="22"/>
          <w:szCs w:val="22"/>
        </w:rPr>
      </w:pPr>
      <w:r>
        <w:rPr>
          <w:rFonts w:ascii="Arial" w:hAnsi="Arial" w:cs="Arial"/>
          <w:b/>
          <w:bCs/>
          <w:sz w:val="22"/>
          <w:szCs w:val="22"/>
        </w:rPr>
        <w:br w:type="page"/>
      </w:r>
    </w:p>
    <w:p w14:paraId="52B80525" w14:textId="3636669D" w:rsidR="002C73E9" w:rsidRPr="00005853" w:rsidRDefault="002C73E9" w:rsidP="002C73E9">
      <w:pPr>
        <w:pStyle w:val="BodyText"/>
        <w:rPr>
          <w:b/>
          <w:bCs/>
          <w:sz w:val="22"/>
          <w:szCs w:val="22"/>
        </w:rPr>
      </w:pPr>
      <w:r w:rsidRPr="00005853">
        <w:rPr>
          <w:b/>
          <w:bCs/>
          <w:sz w:val="22"/>
          <w:szCs w:val="22"/>
        </w:rPr>
        <w:lastRenderedPageBreak/>
        <w:t>Health Care Quality Landscape</w:t>
      </w:r>
    </w:p>
    <w:p w14:paraId="78AA42DE" w14:textId="77777777" w:rsidR="002C73E9" w:rsidRPr="00005853" w:rsidRDefault="002C73E9" w:rsidP="002C73E9">
      <w:pPr>
        <w:pStyle w:val="BodyText"/>
        <w:rPr>
          <w:sz w:val="22"/>
          <w:szCs w:val="22"/>
        </w:rPr>
      </w:pPr>
    </w:p>
    <w:p w14:paraId="36D4241A" w14:textId="34CF8C48" w:rsidR="002C73E9" w:rsidRPr="00005853" w:rsidRDefault="002C73E9" w:rsidP="002C73E9">
      <w:pPr>
        <w:pStyle w:val="BodyText"/>
        <w:spacing w:after="120"/>
        <w:rPr>
          <w:sz w:val="22"/>
          <w:szCs w:val="22"/>
        </w:rPr>
      </w:pPr>
      <w:bookmarkStart w:id="17" w:name="_Hlk181118665"/>
      <w:r w:rsidRPr="00C84723">
        <w:rPr>
          <w:b/>
          <w:bCs/>
          <w:sz w:val="22"/>
          <w:szCs w:val="22"/>
        </w:rPr>
        <w:t xml:space="preserve">Table </w:t>
      </w:r>
      <w:r w:rsidR="00856CFD" w:rsidRPr="00C84723">
        <w:rPr>
          <w:b/>
          <w:bCs/>
          <w:sz w:val="22"/>
          <w:szCs w:val="22"/>
        </w:rPr>
        <w:t>13</w:t>
      </w:r>
      <w:r w:rsidRPr="00C84723">
        <w:rPr>
          <w:b/>
          <w:bCs/>
          <w:sz w:val="22"/>
          <w:szCs w:val="22"/>
        </w:rPr>
        <w:t>.</w:t>
      </w:r>
      <w:r w:rsidRPr="00C84723">
        <w:rPr>
          <w:sz w:val="22"/>
          <w:szCs w:val="22"/>
        </w:rPr>
        <w:t xml:space="preserve"> Sample</w:t>
      </w:r>
      <w:r w:rsidRPr="00005853">
        <w:rPr>
          <w:sz w:val="22"/>
          <w:szCs w:val="22"/>
        </w:rPr>
        <w:t xml:space="preserve"> of Current and Past Pneumonia and Antibiotic Use Clinical Quality Measures.</w:t>
      </w:r>
    </w:p>
    <w:tbl>
      <w:tblPr>
        <w:tblStyle w:val="TableGrid"/>
        <w:tblW w:w="9525" w:type="dxa"/>
        <w:tblLook w:val="04A0" w:firstRow="1" w:lastRow="0" w:firstColumn="1" w:lastColumn="0" w:noHBand="0" w:noVBand="1"/>
        <w:tblCaption w:val="Table 6. Sample of current and past pneumonia clinical quality measures."/>
        <w:tblDescription w:val="Table 6 highlights that there are no diagnostic quality eCQMs currently used, althought there are measures focused on prevention, cost, or treatment of pneumonia (or related conditions such as sepsis or COPD). "/>
      </w:tblPr>
      <w:tblGrid>
        <w:gridCol w:w="3711"/>
        <w:gridCol w:w="1877"/>
        <w:gridCol w:w="2434"/>
        <w:gridCol w:w="1503"/>
      </w:tblGrid>
      <w:tr w:rsidR="002C73E9" w:rsidRPr="00005853" w14:paraId="26D77DD7" w14:textId="77777777" w:rsidTr="006838FB">
        <w:trPr>
          <w:cantSplit/>
          <w:trHeight w:val="332"/>
          <w:tblHeader/>
        </w:trPr>
        <w:tc>
          <w:tcPr>
            <w:tcW w:w="3711" w:type="dxa"/>
            <w:shd w:val="clear" w:color="auto" w:fill="auto"/>
          </w:tcPr>
          <w:p w14:paraId="0379D131" w14:textId="77777777" w:rsidR="002C73E9" w:rsidRPr="00005853" w:rsidRDefault="002C73E9" w:rsidP="006838FB">
            <w:pPr>
              <w:pStyle w:val="BodyText"/>
              <w:rPr>
                <w:b/>
                <w:bCs/>
                <w:color w:val="000000" w:themeColor="text1"/>
                <w:sz w:val="20"/>
                <w:szCs w:val="20"/>
              </w:rPr>
            </w:pPr>
            <w:bookmarkStart w:id="18" w:name="_Hlk179383849"/>
            <w:r w:rsidRPr="00005853">
              <w:rPr>
                <w:b/>
                <w:bCs/>
                <w:color w:val="000000" w:themeColor="text1"/>
                <w:sz w:val="20"/>
                <w:szCs w:val="20"/>
              </w:rPr>
              <w:t>Measure Name</w:t>
            </w:r>
          </w:p>
        </w:tc>
        <w:tc>
          <w:tcPr>
            <w:tcW w:w="1877" w:type="dxa"/>
            <w:shd w:val="clear" w:color="auto" w:fill="auto"/>
          </w:tcPr>
          <w:p w14:paraId="735AECCF" w14:textId="77777777" w:rsidR="002C73E9" w:rsidRPr="00005853" w:rsidRDefault="002C73E9" w:rsidP="006838FB">
            <w:pPr>
              <w:pStyle w:val="BodyText"/>
              <w:jc w:val="center"/>
              <w:rPr>
                <w:b/>
                <w:bCs/>
                <w:color w:val="000000" w:themeColor="text1"/>
                <w:sz w:val="20"/>
                <w:szCs w:val="20"/>
              </w:rPr>
            </w:pPr>
            <w:r w:rsidRPr="00005853">
              <w:rPr>
                <w:b/>
                <w:bCs/>
                <w:color w:val="000000" w:themeColor="text1"/>
                <w:sz w:val="20"/>
                <w:szCs w:val="20"/>
              </w:rPr>
              <w:t>Focus</w:t>
            </w:r>
          </w:p>
        </w:tc>
        <w:tc>
          <w:tcPr>
            <w:tcW w:w="2434" w:type="dxa"/>
            <w:shd w:val="clear" w:color="auto" w:fill="auto"/>
          </w:tcPr>
          <w:p w14:paraId="023BC141" w14:textId="77777777" w:rsidR="002C73E9" w:rsidRPr="00005853" w:rsidRDefault="002C73E9" w:rsidP="006838FB">
            <w:pPr>
              <w:pStyle w:val="BodyText"/>
              <w:rPr>
                <w:b/>
                <w:bCs/>
                <w:color w:val="000000" w:themeColor="text1"/>
                <w:sz w:val="20"/>
                <w:szCs w:val="20"/>
              </w:rPr>
            </w:pPr>
            <w:r w:rsidRPr="00005853">
              <w:rPr>
                <w:b/>
                <w:bCs/>
                <w:color w:val="000000" w:themeColor="text1"/>
                <w:sz w:val="20"/>
                <w:szCs w:val="20"/>
              </w:rPr>
              <w:t>Agency</w:t>
            </w:r>
          </w:p>
        </w:tc>
        <w:tc>
          <w:tcPr>
            <w:tcW w:w="1503" w:type="dxa"/>
            <w:shd w:val="clear" w:color="auto" w:fill="auto"/>
          </w:tcPr>
          <w:p w14:paraId="49719E6C" w14:textId="77777777" w:rsidR="002C73E9" w:rsidRPr="00005853" w:rsidRDefault="002C73E9" w:rsidP="006838FB">
            <w:pPr>
              <w:pStyle w:val="BodyText"/>
              <w:jc w:val="center"/>
              <w:rPr>
                <w:b/>
                <w:bCs/>
                <w:color w:val="000000" w:themeColor="text1"/>
                <w:sz w:val="20"/>
                <w:szCs w:val="20"/>
              </w:rPr>
            </w:pPr>
            <w:r w:rsidRPr="00005853">
              <w:rPr>
                <w:b/>
                <w:bCs/>
                <w:color w:val="000000" w:themeColor="text1"/>
              </w:rPr>
              <w:t>Status</w:t>
            </w:r>
          </w:p>
        </w:tc>
      </w:tr>
      <w:tr w:rsidR="002C73E9" w:rsidRPr="00005853" w14:paraId="03DD8073" w14:textId="77777777" w:rsidTr="006838FB">
        <w:trPr>
          <w:cantSplit/>
        </w:trPr>
        <w:tc>
          <w:tcPr>
            <w:tcW w:w="3711" w:type="dxa"/>
            <w:shd w:val="clear" w:color="auto" w:fill="auto"/>
          </w:tcPr>
          <w:p w14:paraId="34035B1A" w14:textId="77777777" w:rsidR="002C73E9" w:rsidRPr="00005853" w:rsidRDefault="002C73E9" w:rsidP="006838FB">
            <w:pPr>
              <w:pStyle w:val="BodyText"/>
              <w:rPr>
                <w:b/>
                <w:bCs/>
                <w:color w:val="000000" w:themeColor="text1"/>
                <w:sz w:val="20"/>
                <w:szCs w:val="20"/>
              </w:rPr>
            </w:pPr>
            <w:r w:rsidRPr="00005853">
              <w:rPr>
                <w:color w:val="000000" w:themeColor="text1"/>
              </w:rPr>
              <w:t>CMIT 519 - Percent of Residents Assessed and Appropriately Given the Pneumococcal Vaccine (LS)</w:t>
            </w:r>
          </w:p>
        </w:tc>
        <w:tc>
          <w:tcPr>
            <w:tcW w:w="1877" w:type="dxa"/>
            <w:shd w:val="clear" w:color="auto" w:fill="auto"/>
          </w:tcPr>
          <w:p w14:paraId="7FCABE8C" w14:textId="77777777" w:rsidR="002C73E9" w:rsidRPr="00005853" w:rsidRDefault="002C73E9" w:rsidP="006838FB">
            <w:pPr>
              <w:pStyle w:val="BodyText"/>
              <w:jc w:val="center"/>
              <w:rPr>
                <w:b/>
                <w:bCs/>
                <w:color w:val="000000" w:themeColor="text1"/>
                <w:sz w:val="20"/>
                <w:szCs w:val="20"/>
              </w:rPr>
            </w:pPr>
            <w:r w:rsidRPr="00005853">
              <w:rPr>
                <w:color w:val="000000" w:themeColor="text1"/>
              </w:rPr>
              <w:t>Process</w:t>
            </w:r>
          </w:p>
        </w:tc>
        <w:tc>
          <w:tcPr>
            <w:tcW w:w="2434" w:type="dxa"/>
            <w:shd w:val="clear" w:color="auto" w:fill="auto"/>
          </w:tcPr>
          <w:p w14:paraId="1FFCF35A" w14:textId="77777777" w:rsidR="002C73E9" w:rsidRPr="00005853" w:rsidRDefault="002C73E9" w:rsidP="006838FB">
            <w:pPr>
              <w:pStyle w:val="BodyText"/>
              <w:rPr>
                <w:b/>
                <w:bCs/>
                <w:color w:val="000000" w:themeColor="text1"/>
                <w:sz w:val="20"/>
                <w:szCs w:val="20"/>
              </w:rPr>
            </w:pPr>
            <w:r w:rsidRPr="00005853">
              <w:rPr>
                <w:color w:val="000000" w:themeColor="text1"/>
              </w:rPr>
              <w:t>Centers for Medicare &amp; Medicaid Services</w:t>
            </w:r>
          </w:p>
        </w:tc>
        <w:tc>
          <w:tcPr>
            <w:tcW w:w="1503" w:type="dxa"/>
            <w:shd w:val="clear" w:color="auto" w:fill="auto"/>
          </w:tcPr>
          <w:p w14:paraId="46108C27" w14:textId="77777777" w:rsidR="002C73E9" w:rsidRPr="00005853" w:rsidRDefault="002C73E9" w:rsidP="006838FB">
            <w:pPr>
              <w:pStyle w:val="BodyText"/>
              <w:jc w:val="center"/>
              <w:rPr>
                <w:b/>
                <w:bCs/>
                <w:color w:val="000000" w:themeColor="text1"/>
              </w:rPr>
            </w:pPr>
            <w:r w:rsidRPr="00005853">
              <w:rPr>
                <w:color w:val="000000" w:themeColor="text1"/>
              </w:rPr>
              <w:t>Active</w:t>
            </w:r>
          </w:p>
        </w:tc>
      </w:tr>
      <w:tr w:rsidR="002C73E9" w:rsidRPr="00005853" w14:paraId="7CD376A8" w14:textId="77777777" w:rsidTr="006838FB">
        <w:trPr>
          <w:cantSplit/>
        </w:trPr>
        <w:tc>
          <w:tcPr>
            <w:tcW w:w="3711" w:type="dxa"/>
            <w:shd w:val="clear" w:color="auto" w:fill="auto"/>
          </w:tcPr>
          <w:p w14:paraId="63956BCE" w14:textId="77777777" w:rsidR="002C73E9" w:rsidRPr="00005853" w:rsidRDefault="002C73E9" w:rsidP="006838FB">
            <w:pPr>
              <w:pStyle w:val="BodyText"/>
              <w:rPr>
                <w:b/>
                <w:bCs/>
                <w:color w:val="000000" w:themeColor="text1"/>
                <w:sz w:val="20"/>
                <w:szCs w:val="20"/>
              </w:rPr>
            </w:pPr>
            <w:r w:rsidRPr="00005853">
              <w:t>NHSN Antimicrobial Use and Resistance (AUR) Module</w:t>
            </w:r>
          </w:p>
        </w:tc>
        <w:tc>
          <w:tcPr>
            <w:tcW w:w="1877" w:type="dxa"/>
            <w:shd w:val="clear" w:color="auto" w:fill="auto"/>
          </w:tcPr>
          <w:p w14:paraId="7655A83B" w14:textId="77777777" w:rsidR="002C73E9" w:rsidRPr="00005853" w:rsidRDefault="002C73E9" w:rsidP="006838FB">
            <w:pPr>
              <w:pStyle w:val="BodyText"/>
              <w:jc w:val="center"/>
              <w:rPr>
                <w:b/>
                <w:bCs/>
                <w:color w:val="000000" w:themeColor="text1"/>
                <w:sz w:val="20"/>
                <w:szCs w:val="20"/>
              </w:rPr>
            </w:pPr>
            <w:r w:rsidRPr="00005853">
              <w:t>Treatment</w:t>
            </w:r>
          </w:p>
        </w:tc>
        <w:tc>
          <w:tcPr>
            <w:tcW w:w="2434" w:type="dxa"/>
            <w:shd w:val="clear" w:color="auto" w:fill="auto"/>
          </w:tcPr>
          <w:p w14:paraId="4F23DCF0" w14:textId="77777777" w:rsidR="002C73E9" w:rsidRPr="00005853" w:rsidRDefault="002C73E9" w:rsidP="006838FB">
            <w:pPr>
              <w:pStyle w:val="BodyText"/>
              <w:rPr>
                <w:b/>
                <w:bCs/>
                <w:color w:val="000000" w:themeColor="text1"/>
                <w:sz w:val="20"/>
                <w:szCs w:val="20"/>
              </w:rPr>
            </w:pPr>
            <w:r w:rsidRPr="00005853">
              <w:t>NHSN</w:t>
            </w:r>
          </w:p>
        </w:tc>
        <w:tc>
          <w:tcPr>
            <w:tcW w:w="1503" w:type="dxa"/>
            <w:shd w:val="clear" w:color="auto" w:fill="auto"/>
          </w:tcPr>
          <w:p w14:paraId="2DDFC69E" w14:textId="77777777" w:rsidR="002C73E9" w:rsidRPr="00005853" w:rsidRDefault="002C73E9" w:rsidP="006838FB">
            <w:pPr>
              <w:pStyle w:val="BodyText"/>
              <w:jc w:val="center"/>
              <w:rPr>
                <w:b/>
                <w:bCs/>
                <w:color w:val="000000" w:themeColor="text1"/>
              </w:rPr>
            </w:pPr>
            <w:r w:rsidRPr="00005853">
              <w:t>Active</w:t>
            </w:r>
          </w:p>
        </w:tc>
      </w:tr>
      <w:tr w:rsidR="002C73E9" w:rsidRPr="00005853" w14:paraId="469191E7" w14:textId="77777777" w:rsidTr="006838FB">
        <w:trPr>
          <w:cantSplit/>
        </w:trPr>
        <w:tc>
          <w:tcPr>
            <w:tcW w:w="3711" w:type="dxa"/>
            <w:shd w:val="clear" w:color="auto" w:fill="auto"/>
          </w:tcPr>
          <w:p w14:paraId="577C1460" w14:textId="77777777" w:rsidR="002C73E9" w:rsidRPr="00005853" w:rsidRDefault="002C73E9" w:rsidP="006838FB">
            <w:pPr>
              <w:pStyle w:val="BodyText"/>
              <w:rPr>
                <w:b/>
                <w:bCs/>
                <w:color w:val="000000" w:themeColor="text1"/>
              </w:rPr>
            </w:pPr>
            <w:r w:rsidRPr="00005853">
              <w:t>CBE-ID 4440e – Percent of Hospitalized Pneumonia Patients with Chest Imaging</w:t>
            </w:r>
          </w:p>
        </w:tc>
        <w:tc>
          <w:tcPr>
            <w:tcW w:w="1877" w:type="dxa"/>
            <w:shd w:val="clear" w:color="auto" w:fill="auto"/>
          </w:tcPr>
          <w:p w14:paraId="4E267EC4" w14:textId="77777777" w:rsidR="002C73E9" w:rsidRPr="00005853" w:rsidRDefault="002C73E9" w:rsidP="006838FB">
            <w:pPr>
              <w:pStyle w:val="BodyText"/>
              <w:jc w:val="center"/>
              <w:rPr>
                <w:b/>
                <w:bCs/>
                <w:color w:val="000000" w:themeColor="text1"/>
              </w:rPr>
            </w:pPr>
            <w:r w:rsidRPr="00005853">
              <w:t>Diagnosis</w:t>
            </w:r>
          </w:p>
        </w:tc>
        <w:tc>
          <w:tcPr>
            <w:tcW w:w="2434" w:type="dxa"/>
            <w:shd w:val="clear" w:color="auto" w:fill="auto"/>
          </w:tcPr>
          <w:p w14:paraId="35DA0184" w14:textId="77777777" w:rsidR="002C73E9" w:rsidRPr="00005853" w:rsidRDefault="002C73E9" w:rsidP="006838FB">
            <w:pPr>
              <w:pStyle w:val="BodyText"/>
              <w:rPr>
                <w:b/>
                <w:bCs/>
                <w:color w:val="000000" w:themeColor="text1"/>
              </w:rPr>
            </w:pPr>
            <w:r w:rsidRPr="00005853">
              <w:t>Partnership for Quality Measurement (PQM)</w:t>
            </w:r>
          </w:p>
        </w:tc>
        <w:tc>
          <w:tcPr>
            <w:tcW w:w="1503" w:type="dxa"/>
            <w:shd w:val="clear" w:color="auto" w:fill="auto"/>
          </w:tcPr>
          <w:p w14:paraId="0778F667" w14:textId="77777777" w:rsidR="002C73E9" w:rsidRPr="00005853" w:rsidRDefault="002C73E9" w:rsidP="006838FB">
            <w:pPr>
              <w:pStyle w:val="BodyText"/>
              <w:jc w:val="center"/>
              <w:rPr>
                <w:b/>
                <w:bCs/>
                <w:color w:val="000000" w:themeColor="text1"/>
              </w:rPr>
            </w:pPr>
            <w:r w:rsidRPr="00005853">
              <w:t>Endorsed 2023</w:t>
            </w:r>
          </w:p>
        </w:tc>
      </w:tr>
      <w:tr w:rsidR="002C73E9" w:rsidRPr="00005853" w14:paraId="000BC8C6" w14:textId="77777777" w:rsidTr="006838FB">
        <w:trPr>
          <w:cantSplit/>
        </w:trPr>
        <w:tc>
          <w:tcPr>
            <w:tcW w:w="3711" w:type="dxa"/>
            <w:shd w:val="clear" w:color="auto" w:fill="auto"/>
          </w:tcPr>
          <w:p w14:paraId="59972581" w14:textId="77777777" w:rsidR="002C73E9" w:rsidRPr="00005853" w:rsidRDefault="002C73E9" w:rsidP="006838FB">
            <w:pPr>
              <w:pStyle w:val="BodyText"/>
              <w:rPr>
                <w:b/>
                <w:bCs/>
                <w:color w:val="000000" w:themeColor="text1"/>
              </w:rPr>
            </w:pPr>
            <w:r w:rsidRPr="00005853">
              <w:t>CBE-ID 3671 – Inappropriate Diagnosis of Community-Acquired Pneumonia in Hospitalized Medical Patients</w:t>
            </w:r>
          </w:p>
        </w:tc>
        <w:tc>
          <w:tcPr>
            <w:tcW w:w="1877" w:type="dxa"/>
            <w:shd w:val="clear" w:color="auto" w:fill="auto"/>
          </w:tcPr>
          <w:p w14:paraId="1686B6DC" w14:textId="77777777" w:rsidR="002C73E9" w:rsidRPr="00005853" w:rsidRDefault="002C73E9" w:rsidP="006838FB">
            <w:pPr>
              <w:pStyle w:val="BodyText"/>
              <w:jc w:val="center"/>
              <w:rPr>
                <w:b/>
                <w:bCs/>
                <w:color w:val="000000" w:themeColor="text1"/>
              </w:rPr>
            </w:pPr>
            <w:r w:rsidRPr="00005853">
              <w:t>Diagnosis</w:t>
            </w:r>
          </w:p>
        </w:tc>
        <w:tc>
          <w:tcPr>
            <w:tcW w:w="2434" w:type="dxa"/>
            <w:shd w:val="clear" w:color="auto" w:fill="auto"/>
          </w:tcPr>
          <w:p w14:paraId="4921C61A" w14:textId="77777777" w:rsidR="002C73E9" w:rsidRPr="00005853" w:rsidRDefault="002C73E9" w:rsidP="006838FB">
            <w:pPr>
              <w:pStyle w:val="BodyText"/>
              <w:rPr>
                <w:b/>
                <w:bCs/>
                <w:color w:val="000000" w:themeColor="text1"/>
              </w:rPr>
            </w:pPr>
            <w:r w:rsidRPr="00005853">
              <w:t>Partnership for Quality Measurement (PQM)</w:t>
            </w:r>
          </w:p>
        </w:tc>
        <w:tc>
          <w:tcPr>
            <w:tcW w:w="1503" w:type="dxa"/>
            <w:shd w:val="clear" w:color="auto" w:fill="auto"/>
          </w:tcPr>
          <w:p w14:paraId="2FB9A56B" w14:textId="77777777" w:rsidR="002C73E9" w:rsidRPr="00005853" w:rsidRDefault="002C73E9" w:rsidP="006838FB">
            <w:pPr>
              <w:pStyle w:val="BodyText"/>
              <w:jc w:val="center"/>
              <w:rPr>
                <w:b/>
                <w:bCs/>
                <w:color w:val="000000" w:themeColor="text1"/>
              </w:rPr>
            </w:pPr>
            <w:r w:rsidRPr="00005853">
              <w:t>Endorsed 2021</w:t>
            </w:r>
          </w:p>
        </w:tc>
      </w:tr>
      <w:tr w:rsidR="002C73E9" w:rsidRPr="00005853" w14:paraId="4F39BC42" w14:textId="77777777" w:rsidTr="006838FB">
        <w:trPr>
          <w:cantSplit/>
          <w:trHeight w:val="260"/>
        </w:trPr>
        <w:tc>
          <w:tcPr>
            <w:tcW w:w="3711" w:type="dxa"/>
            <w:shd w:val="clear" w:color="auto" w:fill="auto"/>
          </w:tcPr>
          <w:p w14:paraId="5F2211AB" w14:textId="77777777" w:rsidR="002C73E9" w:rsidRPr="00005853" w:rsidRDefault="002C73E9" w:rsidP="006838FB">
            <w:pPr>
              <w:pStyle w:val="BodyText"/>
              <w:rPr>
                <w:color w:val="000000" w:themeColor="text1"/>
              </w:rPr>
            </w:pPr>
            <w:r w:rsidRPr="00005853">
              <w:rPr>
                <w:color w:val="000000" w:themeColor="text1"/>
              </w:rPr>
              <w:t>CBE2882 - Excess days in acute care (EDAC) after hospitalization for pneumonia</w:t>
            </w:r>
          </w:p>
        </w:tc>
        <w:tc>
          <w:tcPr>
            <w:tcW w:w="1877" w:type="dxa"/>
            <w:shd w:val="clear" w:color="auto" w:fill="auto"/>
          </w:tcPr>
          <w:p w14:paraId="390CC0BD" w14:textId="77777777" w:rsidR="002C73E9" w:rsidRPr="00005853" w:rsidRDefault="002C73E9" w:rsidP="006838FB">
            <w:pPr>
              <w:pStyle w:val="BodyText"/>
              <w:jc w:val="center"/>
              <w:rPr>
                <w:color w:val="000000" w:themeColor="text1"/>
              </w:rPr>
            </w:pPr>
            <w:r w:rsidRPr="00005853">
              <w:rPr>
                <w:color w:val="000000" w:themeColor="text1"/>
              </w:rPr>
              <w:t>Length of Stay</w:t>
            </w:r>
          </w:p>
        </w:tc>
        <w:tc>
          <w:tcPr>
            <w:tcW w:w="2434" w:type="dxa"/>
            <w:shd w:val="clear" w:color="auto" w:fill="auto"/>
          </w:tcPr>
          <w:p w14:paraId="394ADE30" w14:textId="77777777" w:rsidR="002C73E9" w:rsidRPr="00005853" w:rsidRDefault="002C73E9" w:rsidP="006838FB">
            <w:pPr>
              <w:pStyle w:val="BodyText"/>
              <w:rPr>
                <w:color w:val="000000" w:themeColor="text1"/>
              </w:rPr>
            </w:pPr>
            <w:r w:rsidRPr="00005853">
              <w:rPr>
                <w:color w:val="000000" w:themeColor="text1"/>
              </w:rPr>
              <w:t>Centers for Medicare &amp; Medicaid Services</w:t>
            </w:r>
          </w:p>
        </w:tc>
        <w:tc>
          <w:tcPr>
            <w:tcW w:w="1503" w:type="dxa"/>
            <w:shd w:val="clear" w:color="auto" w:fill="auto"/>
          </w:tcPr>
          <w:p w14:paraId="083AB4E0" w14:textId="77777777" w:rsidR="002C73E9" w:rsidRPr="00005853" w:rsidRDefault="002C73E9" w:rsidP="006838FB">
            <w:pPr>
              <w:pStyle w:val="BodyText"/>
              <w:jc w:val="center"/>
              <w:rPr>
                <w:color w:val="000000" w:themeColor="text1"/>
              </w:rPr>
            </w:pPr>
            <w:r w:rsidRPr="00005853">
              <w:rPr>
                <w:color w:val="000000" w:themeColor="text1"/>
              </w:rPr>
              <w:t>Endorsed 2021</w:t>
            </w:r>
          </w:p>
        </w:tc>
      </w:tr>
      <w:tr w:rsidR="002C73E9" w:rsidRPr="00005853" w14:paraId="6B5F0F97" w14:textId="77777777" w:rsidTr="006838FB">
        <w:trPr>
          <w:cantSplit/>
          <w:trHeight w:val="260"/>
        </w:trPr>
        <w:tc>
          <w:tcPr>
            <w:tcW w:w="3711" w:type="dxa"/>
            <w:shd w:val="clear" w:color="auto" w:fill="auto"/>
          </w:tcPr>
          <w:p w14:paraId="74F8035E" w14:textId="77777777" w:rsidR="002C73E9" w:rsidRPr="00005853" w:rsidRDefault="002C73E9" w:rsidP="006838FB">
            <w:pPr>
              <w:pStyle w:val="BodyText"/>
              <w:rPr>
                <w:color w:val="000000" w:themeColor="text1"/>
              </w:rPr>
            </w:pPr>
            <w:r w:rsidRPr="00005853">
              <w:rPr>
                <w:color w:val="000000" w:themeColor="text1"/>
              </w:rPr>
              <w:t>CBE 0506 – Hospital 30-day, All-Cause, Risk-Standardized Readmission Rate (RSRR) Following Pneumonia Hospitalization</w:t>
            </w:r>
          </w:p>
        </w:tc>
        <w:tc>
          <w:tcPr>
            <w:tcW w:w="1877" w:type="dxa"/>
            <w:shd w:val="clear" w:color="auto" w:fill="auto"/>
          </w:tcPr>
          <w:p w14:paraId="69A633B8" w14:textId="77777777" w:rsidR="002C73E9" w:rsidRPr="00005853" w:rsidRDefault="002C73E9" w:rsidP="006838FB">
            <w:pPr>
              <w:pStyle w:val="BodyText"/>
              <w:jc w:val="center"/>
              <w:rPr>
                <w:color w:val="000000" w:themeColor="text1"/>
              </w:rPr>
            </w:pPr>
            <w:r w:rsidRPr="00005853">
              <w:rPr>
                <w:color w:val="000000" w:themeColor="text1"/>
              </w:rPr>
              <w:t>Outcomes</w:t>
            </w:r>
          </w:p>
        </w:tc>
        <w:tc>
          <w:tcPr>
            <w:tcW w:w="2434" w:type="dxa"/>
            <w:shd w:val="clear" w:color="auto" w:fill="auto"/>
          </w:tcPr>
          <w:p w14:paraId="281AFC60" w14:textId="77777777" w:rsidR="002C73E9" w:rsidRPr="00005853" w:rsidRDefault="002C73E9" w:rsidP="006838FB">
            <w:pPr>
              <w:pStyle w:val="BodyText"/>
              <w:rPr>
                <w:color w:val="000000" w:themeColor="text1"/>
              </w:rPr>
            </w:pPr>
            <w:r w:rsidRPr="00005853">
              <w:rPr>
                <w:color w:val="000000" w:themeColor="text1"/>
              </w:rPr>
              <w:t>Centers for Medicare &amp; Medicaid Services</w:t>
            </w:r>
          </w:p>
        </w:tc>
        <w:tc>
          <w:tcPr>
            <w:tcW w:w="1503" w:type="dxa"/>
            <w:shd w:val="clear" w:color="auto" w:fill="auto"/>
          </w:tcPr>
          <w:p w14:paraId="2E50C33F" w14:textId="77777777" w:rsidR="002C73E9" w:rsidRPr="00005853" w:rsidRDefault="002C73E9" w:rsidP="006838FB">
            <w:pPr>
              <w:pStyle w:val="BodyText"/>
              <w:jc w:val="center"/>
              <w:rPr>
                <w:color w:val="000000" w:themeColor="text1"/>
              </w:rPr>
            </w:pPr>
            <w:r w:rsidRPr="00005853">
              <w:rPr>
                <w:color w:val="000000" w:themeColor="text1"/>
              </w:rPr>
              <w:t>Endorsed 2021</w:t>
            </w:r>
          </w:p>
        </w:tc>
      </w:tr>
      <w:tr w:rsidR="002C73E9" w:rsidRPr="00005853" w14:paraId="56F94695" w14:textId="77777777" w:rsidTr="006838FB">
        <w:trPr>
          <w:cantSplit/>
          <w:trHeight w:val="260"/>
        </w:trPr>
        <w:tc>
          <w:tcPr>
            <w:tcW w:w="3711" w:type="dxa"/>
            <w:shd w:val="clear" w:color="auto" w:fill="auto"/>
          </w:tcPr>
          <w:p w14:paraId="38E60D8A" w14:textId="77777777" w:rsidR="002C73E9" w:rsidRPr="00005853" w:rsidRDefault="002C73E9" w:rsidP="006838FB">
            <w:pPr>
              <w:pStyle w:val="BodyText"/>
              <w:rPr>
                <w:color w:val="000000" w:themeColor="text1"/>
              </w:rPr>
            </w:pPr>
            <w:r w:rsidRPr="00005853">
              <w:rPr>
                <w:color w:val="000000" w:themeColor="text1"/>
              </w:rPr>
              <w:t>CBE 2579 – Hospital-level, risk-standardized payment associated with a 30-day episode of care for pneumonia (PN)</w:t>
            </w:r>
          </w:p>
        </w:tc>
        <w:tc>
          <w:tcPr>
            <w:tcW w:w="1877" w:type="dxa"/>
            <w:shd w:val="clear" w:color="auto" w:fill="auto"/>
          </w:tcPr>
          <w:p w14:paraId="6CA2405F" w14:textId="77777777" w:rsidR="002C73E9" w:rsidRPr="00005853" w:rsidRDefault="002C73E9" w:rsidP="006838FB">
            <w:pPr>
              <w:pStyle w:val="BodyText"/>
              <w:jc w:val="center"/>
              <w:rPr>
                <w:color w:val="000000" w:themeColor="text1"/>
              </w:rPr>
            </w:pPr>
            <w:r w:rsidRPr="00005853">
              <w:rPr>
                <w:color w:val="000000" w:themeColor="text1"/>
              </w:rPr>
              <w:t>Cost</w:t>
            </w:r>
          </w:p>
        </w:tc>
        <w:tc>
          <w:tcPr>
            <w:tcW w:w="2434" w:type="dxa"/>
            <w:shd w:val="clear" w:color="auto" w:fill="auto"/>
          </w:tcPr>
          <w:p w14:paraId="278C632A" w14:textId="77777777" w:rsidR="002C73E9" w:rsidRPr="00005853" w:rsidRDefault="002C73E9" w:rsidP="006838FB">
            <w:pPr>
              <w:pStyle w:val="BodyText"/>
              <w:rPr>
                <w:color w:val="000000" w:themeColor="text1"/>
              </w:rPr>
            </w:pPr>
            <w:r w:rsidRPr="00005853">
              <w:rPr>
                <w:color w:val="000000" w:themeColor="text1"/>
              </w:rPr>
              <w:t>Centers for Medicare &amp; Medicaid Services</w:t>
            </w:r>
          </w:p>
        </w:tc>
        <w:tc>
          <w:tcPr>
            <w:tcW w:w="1503" w:type="dxa"/>
            <w:shd w:val="clear" w:color="auto" w:fill="auto"/>
          </w:tcPr>
          <w:p w14:paraId="4FC51667" w14:textId="77777777" w:rsidR="002C73E9" w:rsidRPr="00005853" w:rsidRDefault="002C73E9" w:rsidP="006838FB">
            <w:pPr>
              <w:pStyle w:val="BodyText"/>
              <w:jc w:val="center"/>
              <w:rPr>
                <w:color w:val="000000" w:themeColor="text1"/>
              </w:rPr>
            </w:pPr>
            <w:r w:rsidRPr="00005853">
              <w:rPr>
                <w:color w:val="000000" w:themeColor="text1"/>
              </w:rPr>
              <w:t>Endorsed 2021</w:t>
            </w:r>
          </w:p>
        </w:tc>
      </w:tr>
      <w:tr w:rsidR="002C73E9" w:rsidRPr="00005853" w14:paraId="17BB0B1A" w14:textId="77777777" w:rsidTr="006838FB">
        <w:trPr>
          <w:cantSplit/>
          <w:trHeight w:val="260"/>
        </w:trPr>
        <w:tc>
          <w:tcPr>
            <w:tcW w:w="3711" w:type="dxa"/>
            <w:shd w:val="clear" w:color="auto" w:fill="auto"/>
          </w:tcPr>
          <w:p w14:paraId="3415A1D0" w14:textId="77777777" w:rsidR="002C73E9" w:rsidRPr="00005853" w:rsidRDefault="002C73E9" w:rsidP="006838FB">
            <w:pPr>
              <w:pStyle w:val="BodyText"/>
              <w:rPr>
                <w:color w:val="000000" w:themeColor="text1"/>
              </w:rPr>
            </w:pPr>
            <w:r w:rsidRPr="00005853">
              <w:rPr>
                <w:color w:val="000000" w:themeColor="text1"/>
              </w:rPr>
              <w:t>CMIT 519 - Percent of Residents Assessed and Appropriately Given the Pneumococcal Vaccine (LS)</w:t>
            </w:r>
          </w:p>
        </w:tc>
        <w:tc>
          <w:tcPr>
            <w:tcW w:w="1877" w:type="dxa"/>
            <w:shd w:val="clear" w:color="auto" w:fill="auto"/>
          </w:tcPr>
          <w:p w14:paraId="3CED80AE" w14:textId="77777777" w:rsidR="002C73E9" w:rsidRPr="00005853" w:rsidRDefault="002C73E9" w:rsidP="006838FB">
            <w:pPr>
              <w:pStyle w:val="BodyText"/>
              <w:jc w:val="center"/>
              <w:rPr>
                <w:color w:val="000000" w:themeColor="text1"/>
              </w:rPr>
            </w:pPr>
            <w:r w:rsidRPr="00005853">
              <w:rPr>
                <w:color w:val="000000" w:themeColor="text1"/>
              </w:rPr>
              <w:t>Process</w:t>
            </w:r>
          </w:p>
        </w:tc>
        <w:tc>
          <w:tcPr>
            <w:tcW w:w="2434" w:type="dxa"/>
            <w:shd w:val="clear" w:color="auto" w:fill="auto"/>
          </w:tcPr>
          <w:p w14:paraId="7E6E5E10" w14:textId="77777777" w:rsidR="002C73E9" w:rsidRPr="00005853" w:rsidRDefault="002C73E9" w:rsidP="006838FB">
            <w:pPr>
              <w:pStyle w:val="BodyText"/>
              <w:rPr>
                <w:color w:val="000000" w:themeColor="text1"/>
              </w:rPr>
            </w:pPr>
            <w:r w:rsidRPr="00005853">
              <w:rPr>
                <w:color w:val="000000" w:themeColor="text1"/>
              </w:rPr>
              <w:t>Centers for Medicare &amp; Medicaid Services</w:t>
            </w:r>
          </w:p>
        </w:tc>
        <w:tc>
          <w:tcPr>
            <w:tcW w:w="1503" w:type="dxa"/>
            <w:shd w:val="clear" w:color="auto" w:fill="auto"/>
          </w:tcPr>
          <w:p w14:paraId="6B1B7742" w14:textId="77777777" w:rsidR="002C73E9" w:rsidRPr="00005853" w:rsidRDefault="002C73E9" w:rsidP="006838FB">
            <w:pPr>
              <w:pStyle w:val="BodyText"/>
              <w:jc w:val="center"/>
              <w:rPr>
                <w:color w:val="000000" w:themeColor="text1"/>
              </w:rPr>
            </w:pPr>
            <w:r w:rsidRPr="00005853">
              <w:rPr>
                <w:color w:val="000000" w:themeColor="text1"/>
              </w:rPr>
              <w:t>Active</w:t>
            </w:r>
          </w:p>
        </w:tc>
      </w:tr>
      <w:tr w:rsidR="002C73E9" w:rsidRPr="00005853" w14:paraId="37E13AD1" w14:textId="77777777" w:rsidTr="006838FB">
        <w:trPr>
          <w:cantSplit/>
          <w:trHeight w:val="260"/>
        </w:trPr>
        <w:tc>
          <w:tcPr>
            <w:tcW w:w="3711" w:type="dxa"/>
            <w:shd w:val="clear" w:color="auto" w:fill="auto"/>
          </w:tcPr>
          <w:p w14:paraId="7DA59C1D" w14:textId="77777777" w:rsidR="002C73E9" w:rsidRPr="00005853" w:rsidRDefault="002C73E9" w:rsidP="006838FB">
            <w:pPr>
              <w:pStyle w:val="BodyText"/>
              <w:rPr>
                <w:color w:val="000000" w:themeColor="text1"/>
              </w:rPr>
            </w:pPr>
            <w:r w:rsidRPr="00005853">
              <w:rPr>
                <w:color w:val="000000" w:themeColor="text1"/>
              </w:rPr>
              <w:t>01508-02-C-MIPS – Simple Pneumonia with Hospitalization</w:t>
            </w:r>
          </w:p>
        </w:tc>
        <w:tc>
          <w:tcPr>
            <w:tcW w:w="1877" w:type="dxa"/>
            <w:shd w:val="clear" w:color="auto" w:fill="auto"/>
          </w:tcPr>
          <w:p w14:paraId="5563032A" w14:textId="77777777" w:rsidR="002C73E9" w:rsidRPr="00005853" w:rsidRDefault="002C73E9" w:rsidP="006838FB">
            <w:pPr>
              <w:pStyle w:val="BodyText"/>
              <w:jc w:val="center"/>
              <w:rPr>
                <w:color w:val="000000" w:themeColor="text1"/>
              </w:rPr>
            </w:pPr>
            <w:r w:rsidRPr="00005853">
              <w:rPr>
                <w:color w:val="000000" w:themeColor="text1"/>
              </w:rPr>
              <w:t>Cost</w:t>
            </w:r>
          </w:p>
        </w:tc>
        <w:tc>
          <w:tcPr>
            <w:tcW w:w="2434" w:type="dxa"/>
            <w:shd w:val="clear" w:color="auto" w:fill="auto"/>
          </w:tcPr>
          <w:p w14:paraId="527D3B32" w14:textId="77777777" w:rsidR="002C73E9" w:rsidRPr="00005853" w:rsidRDefault="002C73E9" w:rsidP="006838FB">
            <w:pPr>
              <w:pStyle w:val="BodyText"/>
              <w:rPr>
                <w:color w:val="000000" w:themeColor="text1"/>
              </w:rPr>
            </w:pPr>
            <w:r w:rsidRPr="00005853">
              <w:rPr>
                <w:color w:val="000000" w:themeColor="text1"/>
              </w:rPr>
              <w:t>CMS Merit-Based Incentive Payment System (MIPS)</w:t>
            </w:r>
          </w:p>
        </w:tc>
        <w:tc>
          <w:tcPr>
            <w:tcW w:w="1503" w:type="dxa"/>
            <w:shd w:val="clear" w:color="auto" w:fill="auto"/>
          </w:tcPr>
          <w:p w14:paraId="2954DE4F"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4C8B771F" w14:textId="77777777" w:rsidTr="006838FB">
        <w:trPr>
          <w:cantSplit/>
          <w:trHeight w:val="260"/>
        </w:trPr>
        <w:tc>
          <w:tcPr>
            <w:tcW w:w="3711" w:type="dxa"/>
            <w:shd w:val="clear" w:color="auto" w:fill="auto"/>
          </w:tcPr>
          <w:p w14:paraId="569A2DA7" w14:textId="77777777" w:rsidR="002C73E9" w:rsidRPr="00005853" w:rsidRDefault="002C73E9" w:rsidP="006838FB">
            <w:pPr>
              <w:pStyle w:val="BodyText"/>
              <w:rPr>
                <w:color w:val="000000" w:themeColor="text1"/>
              </w:rPr>
            </w:pPr>
            <w:r w:rsidRPr="00005853">
              <w:rPr>
                <w:color w:val="000000" w:themeColor="text1"/>
              </w:rPr>
              <w:t>PN-2 – Pneumococcal Vaccination</w:t>
            </w:r>
          </w:p>
        </w:tc>
        <w:tc>
          <w:tcPr>
            <w:tcW w:w="1877" w:type="dxa"/>
            <w:shd w:val="clear" w:color="auto" w:fill="auto"/>
          </w:tcPr>
          <w:p w14:paraId="73D655AD" w14:textId="77777777" w:rsidR="002C73E9" w:rsidRPr="00005853" w:rsidRDefault="002C73E9" w:rsidP="006838FB">
            <w:pPr>
              <w:pStyle w:val="BodyText"/>
              <w:jc w:val="center"/>
              <w:rPr>
                <w:color w:val="000000" w:themeColor="text1"/>
              </w:rPr>
            </w:pPr>
            <w:r w:rsidRPr="00005853">
              <w:rPr>
                <w:color w:val="000000" w:themeColor="text1"/>
              </w:rPr>
              <w:t>Prevention</w:t>
            </w:r>
          </w:p>
        </w:tc>
        <w:tc>
          <w:tcPr>
            <w:tcW w:w="2434" w:type="dxa"/>
            <w:shd w:val="clear" w:color="auto" w:fill="auto"/>
          </w:tcPr>
          <w:p w14:paraId="00A1D147" w14:textId="77777777" w:rsidR="002C73E9" w:rsidRPr="00005853" w:rsidRDefault="002C73E9" w:rsidP="006838FB">
            <w:pPr>
              <w:pStyle w:val="BodyText"/>
              <w:rPr>
                <w:color w:val="000000" w:themeColor="text1"/>
              </w:rPr>
            </w:pPr>
            <w:r w:rsidRPr="00005853">
              <w:rPr>
                <w:color w:val="000000" w:themeColor="text1"/>
              </w:rPr>
              <w:t>The Joint Commission / CMS MIPS Value Pathways</w:t>
            </w:r>
          </w:p>
        </w:tc>
        <w:tc>
          <w:tcPr>
            <w:tcW w:w="1503" w:type="dxa"/>
            <w:shd w:val="clear" w:color="auto" w:fill="auto"/>
          </w:tcPr>
          <w:p w14:paraId="5AE634FB"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79385AEE" w14:textId="77777777" w:rsidTr="006838FB">
        <w:trPr>
          <w:cantSplit/>
          <w:trHeight w:val="260"/>
        </w:trPr>
        <w:tc>
          <w:tcPr>
            <w:tcW w:w="3711" w:type="dxa"/>
            <w:shd w:val="clear" w:color="auto" w:fill="auto"/>
          </w:tcPr>
          <w:p w14:paraId="1D65C1D2" w14:textId="77777777" w:rsidR="002C73E9" w:rsidRPr="00005853" w:rsidRDefault="002C73E9" w:rsidP="006838FB">
            <w:pPr>
              <w:pStyle w:val="BodyText"/>
              <w:rPr>
                <w:color w:val="000000" w:themeColor="text1"/>
              </w:rPr>
            </w:pPr>
            <w:r w:rsidRPr="00005853">
              <w:rPr>
                <w:color w:val="000000" w:themeColor="text1"/>
              </w:rPr>
              <w:t>PN-3b – Blood Cultures Performed in the Emergency Department Prior to Initial Antibiotic Received in Hospital</w:t>
            </w:r>
          </w:p>
        </w:tc>
        <w:tc>
          <w:tcPr>
            <w:tcW w:w="1877" w:type="dxa"/>
            <w:shd w:val="clear" w:color="auto" w:fill="auto"/>
          </w:tcPr>
          <w:p w14:paraId="63C95BCB" w14:textId="77777777" w:rsidR="002C73E9" w:rsidRPr="00005853" w:rsidRDefault="002C73E9" w:rsidP="006838FB">
            <w:pPr>
              <w:pStyle w:val="BodyText"/>
              <w:jc w:val="center"/>
              <w:rPr>
                <w:color w:val="000000" w:themeColor="text1"/>
              </w:rPr>
            </w:pPr>
            <w:r w:rsidRPr="00005853">
              <w:rPr>
                <w:color w:val="000000" w:themeColor="text1"/>
              </w:rPr>
              <w:t>Diagnostic</w:t>
            </w:r>
          </w:p>
        </w:tc>
        <w:tc>
          <w:tcPr>
            <w:tcW w:w="2434" w:type="dxa"/>
            <w:shd w:val="clear" w:color="auto" w:fill="auto"/>
          </w:tcPr>
          <w:p w14:paraId="3ED37807" w14:textId="77777777" w:rsidR="002C73E9" w:rsidRPr="00005853" w:rsidRDefault="002C73E9" w:rsidP="006838FB">
            <w:pPr>
              <w:pStyle w:val="BodyText"/>
              <w:rPr>
                <w:color w:val="000000" w:themeColor="text1"/>
              </w:rPr>
            </w:pPr>
            <w:r w:rsidRPr="00005853">
              <w:rPr>
                <w:color w:val="000000" w:themeColor="text1"/>
              </w:rPr>
              <w:t>The Joint Commission</w:t>
            </w:r>
          </w:p>
        </w:tc>
        <w:tc>
          <w:tcPr>
            <w:tcW w:w="1503" w:type="dxa"/>
            <w:shd w:val="clear" w:color="auto" w:fill="auto"/>
          </w:tcPr>
          <w:p w14:paraId="51B072FE"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4015B0D7" w14:textId="77777777" w:rsidTr="006838FB">
        <w:trPr>
          <w:cantSplit/>
          <w:trHeight w:val="260"/>
        </w:trPr>
        <w:tc>
          <w:tcPr>
            <w:tcW w:w="3711" w:type="dxa"/>
            <w:shd w:val="clear" w:color="auto" w:fill="auto"/>
          </w:tcPr>
          <w:p w14:paraId="02054271" w14:textId="77777777" w:rsidR="002C73E9" w:rsidRPr="00005853" w:rsidRDefault="002C73E9" w:rsidP="006838FB">
            <w:pPr>
              <w:pStyle w:val="BodyText"/>
              <w:rPr>
                <w:color w:val="000000" w:themeColor="text1"/>
              </w:rPr>
            </w:pPr>
            <w:r w:rsidRPr="00005853">
              <w:rPr>
                <w:color w:val="000000" w:themeColor="text1"/>
              </w:rPr>
              <w:t>PN-5 – Antibiotic Timing (Median)</w:t>
            </w:r>
          </w:p>
        </w:tc>
        <w:tc>
          <w:tcPr>
            <w:tcW w:w="1877" w:type="dxa"/>
            <w:shd w:val="clear" w:color="auto" w:fill="auto"/>
          </w:tcPr>
          <w:p w14:paraId="1ED2A4C5"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1207EA7F" w14:textId="77777777" w:rsidR="002C73E9" w:rsidRPr="00005853" w:rsidRDefault="002C73E9" w:rsidP="006838FB">
            <w:pPr>
              <w:pStyle w:val="BodyText"/>
              <w:rPr>
                <w:color w:val="000000" w:themeColor="text1"/>
              </w:rPr>
            </w:pPr>
            <w:r w:rsidRPr="00005853">
              <w:rPr>
                <w:color w:val="000000" w:themeColor="text1"/>
              </w:rPr>
              <w:t>The Joint Commission</w:t>
            </w:r>
          </w:p>
        </w:tc>
        <w:tc>
          <w:tcPr>
            <w:tcW w:w="1503" w:type="dxa"/>
            <w:shd w:val="clear" w:color="auto" w:fill="auto"/>
          </w:tcPr>
          <w:p w14:paraId="54BBB4D8"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5A4D4A81" w14:textId="77777777" w:rsidTr="006838FB">
        <w:trPr>
          <w:cantSplit/>
          <w:trHeight w:val="260"/>
        </w:trPr>
        <w:tc>
          <w:tcPr>
            <w:tcW w:w="3711" w:type="dxa"/>
            <w:shd w:val="clear" w:color="auto" w:fill="auto"/>
          </w:tcPr>
          <w:p w14:paraId="1B2DF0F0" w14:textId="77777777" w:rsidR="002C73E9" w:rsidRPr="00005853" w:rsidRDefault="002C73E9" w:rsidP="006838FB">
            <w:pPr>
              <w:pStyle w:val="BodyText"/>
              <w:rPr>
                <w:color w:val="000000" w:themeColor="text1"/>
              </w:rPr>
            </w:pPr>
            <w:r w:rsidRPr="00005853">
              <w:rPr>
                <w:color w:val="000000" w:themeColor="text1"/>
              </w:rPr>
              <w:t>PN-5a – Initial Antibiotic Received Within 8 Hours of Hospital Arrival</w:t>
            </w:r>
          </w:p>
        </w:tc>
        <w:tc>
          <w:tcPr>
            <w:tcW w:w="1877" w:type="dxa"/>
            <w:shd w:val="clear" w:color="auto" w:fill="auto"/>
          </w:tcPr>
          <w:p w14:paraId="4C80EFF1"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0981D8B4" w14:textId="77777777" w:rsidR="002C73E9" w:rsidRPr="00005853" w:rsidRDefault="002C73E9" w:rsidP="006838FB">
            <w:pPr>
              <w:pStyle w:val="BodyText"/>
              <w:rPr>
                <w:color w:val="000000" w:themeColor="text1"/>
              </w:rPr>
            </w:pPr>
            <w:r w:rsidRPr="00005853">
              <w:rPr>
                <w:color w:val="000000" w:themeColor="text1"/>
              </w:rPr>
              <w:t>The Joint Commission</w:t>
            </w:r>
          </w:p>
        </w:tc>
        <w:tc>
          <w:tcPr>
            <w:tcW w:w="1503" w:type="dxa"/>
            <w:shd w:val="clear" w:color="auto" w:fill="auto"/>
          </w:tcPr>
          <w:p w14:paraId="5563374C"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65BF87DE" w14:textId="77777777" w:rsidTr="006838FB">
        <w:trPr>
          <w:cantSplit/>
          <w:trHeight w:val="260"/>
        </w:trPr>
        <w:tc>
          <w:tcPr>
            <w:tcW w:w="3711" w:type="dxa"/>
            <w:shd w:val="clear" w:color="auto" w:fill="auto"/>
          </w:tcPr>
          <w:p w14:paraId="62302648" w14:textId="77777777" w:rsidR="002C73E9" w:rsidRPr="00005853" w:rsidRDefault="002C73E9" w:rsidP="006838FB">
            <w:pPr>
              <w:pStyle w:val="BodyText"/>
              <w:rPr>
                <w:color w:val="000000" w:themeColor="text1"/>
              </w:rPr>
            </w:pPr>
            <w:r w:rsidRPr="00005853">
              <w:rPr>
                <w:color w:val="000000" w:themeColor="text1"/>
              </w:rPr>
              <w:t>PN-5b – Initial Antibiotic Received Within 4 Hours of Hospital Arrival</w:t>
            </w:r>
          </w:p>
        </w:tc>
        <w:tc>
          <w:tcPr>
            <w:tcW w:w="1877" w:type="dxa"/>
            <w:shd w:val="clear" w:color="auto" w:fill="auto"/>
          </w:tcPr>
          <w:p w14:paraId="6C3975D0"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7369AEB6" w14:textId="77777777" w:rsidR="002C73E9" w:rsidRPr="00005853" w:rsidRDefault="002C73E9" w:rsidP="006838FB">
            <w:pPr>
              <w:pStyle w:val="BodyText"/>
              <w:rPr>
                <w:color w:val="000000" w:themeColor="text1"/>
              </w:rPr>
            </w:pPr>
            <w:r w:rsidRPr="00005853">
              <w:rPr>
                <w:color w:val="000000" w:themeColor="text1"/>
              </w:rPr>
              <w:t>The Joint Commission</w:t>
            </w:r>
          </w:p>
        </w:tc>
        <w:tc>
          <w:tcPr>
            <w:tcW w:w="1503" w:type="dxa"/>
            <w:shd w:val="clear" w:color="auto" w:fill="auto"/>
          </w:tcPr>
          <w:p w14:paraId="38606997"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0544D271" w14:textId="77777777" w:rsidTr="006838FB">
        <w:trPr>
          <w:cantSplit/>
          <w:trHeight w:val="260"/>
        </w:trPr>
        <w:tc>
          <w:tcPr>
            <w:tcW w:w="3711" w:type="dxa"/>
            <w:shd w:val="clear" w:color="auto" w:fill="auto"/>
          </w:tcPr>
          <w:p w14:paraId="7FCC2A75" w14:textId="77777777" w:rsidR="002C73E9" w:rsidRPr="00005853" w:rsidRDefault="002C73E9" w:rsidP="006838FB">
            <w:pPr>
              <w:pStyle w:val="BodyText"/>
              <w:rPr>
                <w:color w:val="000000" w:themeColor="text1"/>
              </w:rPr>
            </w:pPr>
            <w:r w:rsidRPr="00005853">
              <w:rPr>
                <w:color w:val="000000" w:themeColor="text1"/>
              </w:rPr>
              <w:t>PN-5c – Initial Antibiotic Received Within 6 Hours of Hospital Arrival</w:t>
            </w:r>
          </w:p>
        </w:tc>
        <w:tc>
          <w:tcPr>
            <w:tcW w:w="1877" w:type="dxa"/>
            <w:shd w:val="clear" w:color="auto" w:fill="auto"/>
          </w:tcPr>
          <w:p w14:paraId="5685D066"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6698C9AB" w14:textId="77777777" w:rsidR="002C73E9" w:rsidRPr="00005853" w:rsidRDefault="002C73E9" w:rsidP="006838FB">
            <w:pPr>
              <w:pStyle w:val="BodyText"/>
              <w:rPr>
                <w:color w:val="000000" w:themeColor="text1"/>
              </w:rPr>
            </w:pPr>
            <w:r w:rsidRPr="00005853">
              <w:rPr>
                <w:color w:val="000000" w:themeColor="text1"/>
              </w:rPr>
              <w:t>The Joint Commission</w:t>
            </w:r>
          </w:p>
        </w:tc>
        <w:tc>
          <w:tcPr>
            <w:tcW w:w="1503" w:type="dxa"/>
            <w:shd w:val="clear" w:color="auto" w:fill="auto"/>
          </w:tcPr>
          <w:p w14:paraId="0E7DA58D"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25CE9D8F" w14:textId="77777777" w:rsidTr="006838FB">
        <w:trPr>
          <w:cantSplit/>
          <w:trHeight w:val="260"/>
        </w:trPr>
        <w:tc>
          <w:tcPr>
            <w:tcW w:w="3711" w:type="dxa"/>
            <w:shd w:val="clear" w:color="auto" w:fill="auto"/>
          </w:tcPr>
          <w:p w14:paraId="3C49DFB7" w14:textId="77777777" w:rsidR="002C73E9" w:rsidRPr="00005853" w:rsidRDefault="002C73E9" w:rsidP="006838FB">
            <w:pPr>
              <w:pStyle w:val="BodyText"/>
              <w:rPr>
                <w:color w:val="000000" w:themeColor="text1"/>
              </w:rPr>
            </w:pPr>
            <w:r w:rsidRPr="00005853">
              <w:rPr>
                <w:color w:val="000000" w:themeColor="text1"/>
              </w:rPr>
              <w:t>PN-6 – Initial Antibiotic Selection for Community-Acquired Pneumonia (CAP) in Immunocompetent Patients</w:t>
            </w:r>
          </w:p>
        </w:tc>
        <w:tc>
          <w:tcPr>
            <w:tcW w:w="1877" w:type="dxa"/>
            <w:shd w:val="clear" w:color="auto" w:fill="auto"/>
          </w:tcPr>
          <w:p w14:paraId="79183ED4"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322F3291" w14:textId="77777777" w:rsidR="002C73E9" w:rsidRPr="00005853" w:rsidRDefault="002C73E9" w:rsidP="006838FB">
            <w:pPr>
              <w:pStyle w:val="BodyText"/>
              <w:rPr>
                <w:color w:val="000000" w:themeColor="text1"/>
              </w:rPr>
            </w:pPr>
            <w:r w:rsidRPr="00005853">
              <w:rPr>
                <w:color w:val="000000" w:themeColor="text1"/>
              </w:rPr>
              <w:t>The Joint Commission</w:t>
            </w:r>
          </w:p>
        </w:tc>
        <w:tc>
          <w:tcPr>
            <w:tcW w:w="1503" w:type="dxa"/>
            <w:shd w:val="clear" w:color="auto" w:fill="auto"/>
          </w:tcPr>
          <w:p w14:paraId="57B3BFB6" w14:textId="77777777" w:rsidR="002C73E9" w:rsidRPr="00005853" w:rsidRDefault="002C73E9" w:rsidP="006838FB">
            <w:pPr>
              <w:pStyle w:val="BodyText"/>
              <w:jc w:val="center"/>
              <w:rPr>
                <w:color w:val="000000" w:themeColor="text1"/>
              </w:rPr>
            </w:pPr>
            <w:r w:rsidRPr="00005853">
              <w:rPr>
                <w:color w:val="000000" w:themeColor="text1"/>
              </w:rPr>
              <w:t>Endorsement removed</w:t>
            </w:r>
          </w:p>
        </w:tc>
      </w:tr>
      <w:tr w:rsidR="002C73E9" w:rsidRPr="00005853" w14:paraId="267E5DE8" w14:textId="77777777" w:rsidTr="006838FB">
        <w:trPr>
          <w:cantSplit/>
          <w:trHeight w:val="260"/>
        </w:trPr>
        <w:tc>
          <w:tcPr>
            <w:tcW w:w="3711" w:type="dxa"/>
            <w:shd w:val="clear" w:color="auto" w:fill="auto"/>
          </w:tcPr>
          <w:p w14:paraId="027F34C5" w14:textId="77777777" w:rsidR="002C73E9" w:rsidRPr="00005853" w:rsidRDefault="002C73E9" w:rsidP="006838FB">
            <w:pPr>
              <w:pStyle w:val="BodyText"/>
              <w:rPr>
                <w:color w:val="000000" w:themeColor="text1"/>
              </w:rPr>
            </w:pPr>
            <w:r w:rsidRPr="00005853">
              <w:rPr>
                <w:color w:val="000000" w:themeColor="text1"/>
              </w:rPr>
              <w:t>PN-7 – Influenza Vaccination</w:t>
            </w:r>
          </w:p>
        </w:tc>
        <w:tc>
          <w:tcPr>
            <w:tcW w:w="1877" w:type="dxa"/>
            <w:shd w:val="clear" w:color="auto" w:fill="auto"/>
          </w:tcPr>
          <w:p w14:paraId="6518176C" w14:textId="77777777" w:rsidR="002C73E9" w:rsidRPr="00005853" w:rsidRDefault="002C73E9" w:rsidP="006838FB">
            <w:pPr>
              <w:pStyle w:val="BodyText"/>
              <w:jc w:val="center"/>
              <w:rPr>
                <w:color w:val="000000" w:themeColor="text1"/>
              </w:rPr>
            </w:pPr>
            <w:r w:rsidRPr="00005853">
              <w:rPr>
                <w:color w:val="000000" w:themeColor="text1"/>
              </w:rPr>
              <w:t>Prevention</w:t>
            </w:r>
          </w:p>
        </w:tc>
        <w:tc>
          <w:tcPr>
            <w:tcW w:w="2434" w:type="dxa"/>
            <w:shd w:val="clear" w:color="auto" w:fill="auto"/>
          </w:tcPr>
          <w:p w14:paraId="68476A5E" w14:textId="77777777" w:rsidR="002C73E9" w:rsidRPr="00005853" w:rsidRDefault="002C73E9" w:rsidP="006838FB">
            <w:pPr>
              <w:pStyle w:val="BodyText"/>
              <w:rPr>
                <w:color w:val="000000" w:themeColor="text1"/>
              </w:rPr>
            </w:pPr>
            <w:r w:rsidRPr="00005853">
              <w:rPr>
                <w:color w:val="000000" w:themeColor="text1"/>
              </w:rPr>
              <w:t>The Joint Commission</w:t>
            </w:r>
          </w:p>
        </w:tc>
        <w:tc>
          <w:tcPr>
            <w:tcW w:w="1503" w:type="dxa"/>
            <w:shd w:val="clear" w:color="auto" w:fill="auto"/>
          </w:tcPr>
          <w:p w14:paraId="16C88AB7" w14:textId="77777777" w:rsidR="002C73E9" w:rsidRPr="00005853" w:rsidRDefault="002C73E9" w:rsidP="006838FB">
            <w:pPr>
              <w:pStyle w:val="BodyText"/>
              <w:jc w:val="center"/>
              <w:rPr>
                <w:color w:val="000000" w:themeColor="text1"/>
              </w:rPr>
            </w:pPr>
            <w:r w:rsidRPr="00005853">
              <w:rPr>
                <w:color w:val="000000" w:themeColor="text1"/>
              </w:rPr>
              <w:t>Retired</w:t>
            </w:r>
          </w:p>
        </w:tc>
      </w:tr>
      <w:tr w:rsidR="002C73E9" w:rsidRPr="00005853" w14:paraId="3F374CCB" w14:textId="77777777" w:rsidTr="006838FB">
        <w:trPr>
          <w:cantSplit/>
          <w:trHeight w:val="260"/>
        </w:trPr>
        <w:tc>
          <w:tcPr>
            <w:tcW w:w="3711" w:type="dxa"/>
            <w:shd w:val="clear" w:color="auto" w:fill="auto"/>
          </w:tcPr>
          <w:p w14:paraId="58E55570" w14:textId="77777777" w:rsidR="002C73E9" w:rsidRPr="00005853" w:rsidRDefault="002C73E9" w:rsidP="006838FB">
            <w:pPr>
              <w:pStyle w:val="BodyText"/>
              <w:rPr>
                <w:color w:val="000000" w:themeColor="text1"/>
              </w:rPr>
            </w:pPr>
            <w:r w:rsidRPr="00005853">
              <w:rPr>
                <w:color w:val="000000" w:themeColor="text1"/>
              </w:rPr>
              <w:t>CBE 0279 Community Acquired Pneumonia Admission Rate (PQI 11)</w:t>
            </w:r>
          </w:p>
        </w:tc>
        <w:tc>
          <w:tcPr>
            <w:tcW w:w="1877" w:type="dxa"/>
            <w:shd w:val="clear" w:color="auto" w:fill="auto"/>
          </w:tcPr>
          <w:p w14:paraId="710B8074" w14:textId="77777777" w:rsidR="002C73E9" w:rsidRPr="00005853" w:rsidRDefault="002C73E9" w:rsidP="006838FB">
            <w:pPr>
              <w:pStyle w:val="BodyText"/>
              <w:jc w:val="center"/>
              <w:rPr>
                <w:color w:val="000000" w:themeColor="text1"/>
              </w:rPr>
            </w:pPr>
            <w:r w:rsidRPr="00005853">
              <w:rPr>
                <w:color w:val="000000" w:themeColor="text1"/>
              </w:rPr>
              <w:t>Incidence</w:t>
            </w:r>
          </w:p>
        </w:tc>
        <w:tc>
          <w:tcPr>
            <w:tcW w:w="2434" w:type="dxa"/>
            <w:shd w:val="clear" w:color="auto" w:fill="auto"/>
          </w:tcPr>
          <w:p w14:paraId="614BC904" w14:textId="77777777" w:rsidR="002C73E9" w:rsidRPr="00005853" w:rsidRDefault="002C73E9" w:rsidP="006838FB">
            <w:pPr>
              <w:pStyle w:val="BodyText"/>
              <w:rPr>
                <w:color w:val="000000" w:themeColor="text1"/>
              </w:rPr>
            </w:pPr>
            <w:r w:rsidRPr="00005853">
              <w:rPr>
                <w:color w:val="000000" w:themeColor="text1"/>
              </w:rPr>
              <w:t>Agency for Healthcare Research and Quality</w:t>
            </w:r>
          </w:p>
        </w:tc>
        <w:tc>
          <w:tcPr>
            <w:tcW w:w="1503" w:type="dxa"/>
            <w:shd w:val="clear" w:color="auto" w:fill="auto"/>
          </w:tcPr>
          <w:p w14:paraId="336B876E" w14:textId="77777777" w:rsidR="002C73E9" w:rsidRPr="00005853" w:rsidRDefault="002C73E9" w:rsidP="006838FB">
            <w:pPr>
              <w:pStyle w:val="BodyText"/>
              <w:jc w:val="center"/>
              <w:rPr>
                <w:color w:val="000000" w:themeColor="text1"/>
              </w:rPr>
            </w:pPr>
            <w:r w:rsidRPr="00005853">
              <w:rPr>
                <w:color w:val="000000" w:themeColor="text1"/>
              </w:rPr>
              <w:t>Endorsement removed 2021</w:t>
            </w:r>
          </w:p>
        </w:tc>
      </w:tr>
      <w:tr w:rsidR="002C73E9" w:rsidRPr="00005853" w14:paraId="646556C5" w14:textId="77777777" w:rsidTr="006838FB">
        <w:trPr>
          <w:cantSplit/>
          <w:trHeight w:val="260"/>
        </w:trPr>
        <w:tc>
          <w:tcPr>
            <w:tcW w:w="3711" w:type="dxa"/>
            <w:shd w:val="clear" w:color="auto" w:fill="auto"/>
          </w:tcPr>
          <w:p w14:paraId="4789ECAD" w14:textId="77777777" w:rsidR="002C73E9" w:rsidRPr="00005853" w:rsidRDefault="002C73E9" w:rsidP="006838FB">
            <w:pPr>
              <w:pStyle w:val="BodyText"/>
              <w:rPr>
                <w:color w:val="000000" w:themeColor="text1"/>
              </w:rPr>
            </w:pPr>
            <w:r w:rsidRPr="00005853">
              <w:rPr>
                <w:color w:val="000000" w:themeColor="text1"/>
              </w:rPr>
              <w:t>CBE 0147 – Initial antibiotic selection for community-acquired pneumonia (CAP) in immunocompetent patients</w:t>
            </w:r>
          </w:p>
        </w:tc>
        <w:tc>
          <w:tcPr>
            <w:tcW w:w="1877" w:type="dxa"/>
            <w:shd w:val="clear" w:color="auto" w:fill="auto"/>
          </w:tcPr>
          <w:p w14:paraId="11497607"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4A41A177" w14:textId="77777777" w:rsidR="002C73E9" w:rsidRPr="00005853" w:rsidRDefault="002C73E9" w:rsidP="006838FB">
            <w:pPr>
              <w:pStyle w:val="BodyText"/>
              <w:rPr>
                <w:color w:val="000000" w:themeColor="text1"/>
              </w:rPr>
            </w:pPr>
            <w:r w:rsidRPr="00005853">
              <w:rPr>
                <w:color w:val="000000" w:themeColor="text1"/>
              </w:rPr>
              <w:t>Centers for Medicare &amp; Medicaid Services</w:t>
            </w:r>
          </w:p>
        </w:tc>
        <w:tc>
          <w:tcPr>
            <w:tcW w:w="1503" w:type="dxa"/>
            <w:shd w:val="clear" w:color="auto" w:fill="auto"/>
          </w:tcPr>
          <w:p w14:paraId="52DC318A" w14:textId="77777777" w:rsidR="002C73E9" w:rsidRPr="00005853" w:rsidRDefault="002C73E9" w:rsidP="006838FB">
            <w:pPr>
              <w:pStyle w:val="BodyText"/>
              <w:jc w:val="center"/>
              <w:rPr>
                <w:color w:val="000000" w:themeColor="text1"/>
              </w:rPr>
            </w:pPr>
            <w:r w:rsidRPr="00005853">
              <w:rPr>
                <w:color w:val="000000" w:themeColor="text1"/>
              </w:rPr>
              <w:t>Endorsement removed 2016</w:t>
            </w:r>
          </w:p>
        </w:tc>
      </w:tr>
      <w:tr w:rsidR="002C73E9" w:rsidRPr="00005853" w14:paraId="7D66C15A" w14:textId="77777777" w:rsidTr="006838FB">
        <w:trPr>
          <w:cantSplit/>
          <w:trHeight w:val="260"/>
        </w:trPr>
        <w:tc>
          <w:tcPr>
            <w:tcW w:w="3711" w:type="dxa"/>
            <w:shd w:val="clear" w:color="auto" w:fill="auto"/>
          </w:tcPr>
          <w:p w14:paraId="1EBEA307" w14:textId="77777777" w:rsidR="002C73E9" w:rsidRPr="00005853" w:rsidRDefault="002C73E9" w:rsidP="006838FB">
            <w:pPr>
              <w:pStyle w:val="BodyText"/>
              <w:rPr>
                <w:color w:val="000000" w:themeColor="text1"/>
              </w:rPr>
            </w:pPr>
            <w:r w:rsidRPr="00005853">
              <w:rPr>
                <w:color w:val="000000" w:themeColor="text1"/>
              </w:rPr>
              <w:t>CBE 0096 – Community-Acquired Bacterial Pneumonia (CAP): Empiric Antibiotic</w:t>
            </w:r>
          </w:p>
        </w:tc>
        <w:tc>
          <w:tcPr>
            <w:tcW w:w="1877" w:type="dxa"/>
            <w:shd w:val="clear" w:color="auto" w:fill="auto"/>
          </w:tcPr>
          <w:p w14:paraId="128106C2"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7AECF154" w14:textId="77777777" w:rsidR="002C73E9" w:rsidRPr="00005853" w:rsidRDefault="002C73E9" w:rsidP="006838FB">
            <w:pPr>
              <w:pStyle w:val="BodyText"/>
              <w:rPr>
                <w:color w:val="000000" w:themeColor="text1"/>
              </w:rPr>
            </w:pPr>
            <w:r w:rsidRPr="00005853">
              <w:rPr>
                <w:color w:val="000000" w:themeColor="text1"/>
              </w:rPr>
              <w:t>Physician Consortium for Performance Improvement</w:t>
            </w:r>
          </w:p>
        </w:tc>
        <w:tc>
          <w:tcPr>
            <w:tcW w:w="1503" w:type="dxa"/>
            <w:shd w:val="clear" w:color="auto" w:fill="auto"/>
          </w:tcPr>
          <w:p w14:paraId="6EF30DD6" w14:textId="77777777" w:rsidR="002C73E9" w:rsidRPr="00005853" w:rsidRDefault="002C73E9" w:rsidP="006838FB">
            <w:pPr>
              <w:pStyle w:val="BodyText"/>
              <w:jc w:val="center"/>
              <w:rPr>
                <w:color w:val="000000" w:themeColor="text1"/>
              </w:rPr>
            </w:pPr>
            <w:r w:rsidRPr="00005853">
              <w:rPr>
                <w:color w:val="000000" w:themeColor="text1"/>
              </w:rPr>
              <w:t>Endorsement removed 2017</w:t>
            </w:r>
          </w:p>
        </w:tc>
      </w:tr>
      <w:tr w:rsidR="002C73E9" w:rsidRPr="00005853" w14:paraId="2BD742AB" w14:textId="77777777" w:rsidTr="006838FB">
        <w:trPr>
          <w:cantSplit/>
          <w:trHeight w:val="260"/>
        </w:trPr>
        <w:tc>
          <w:tcPr>
            <w:tcW w:w="3711" w:type="dxa"/>
            <w:shd w:val="clear" w:color="auto" w:fill="auto"/>
          </w:tcPr>
          <w:p w14:paraId="6A148836" w14:textId="77777777" w:rsidR="002C73E9" w:rsidRPr="00005853" w:rsidRDefault="002C73E9" w:rsidP="006838FB">
            <w:pPr>
              <w:pStyle w:val="BodyText"/>
              <w:rPr>
                <w:color w:val="000000" w:themeColor="text1"/>
              </w:rPr>
            </w:pPr>
            <w:r w:rsidRPr="00005853">
              <w:rPr>
                <w:color w:val="000000" w:themeColor="text1"/>
              </w:rPr>
              <w:t>CBE 0140 – Ventilator-associated pneumonia for ICU and high-risk nursery (HRN) patients</w:t>
            </w:r>
          </w:p>
        </w:tc>
        <w:tc>
          <w:tcPr>
            <w:tcW w:w="1877" w:type="dxa"/>
            <w:shd w:val="clear" w:color="auto" w:fill="auto"/>
          </w:tcPr>
          <w:p w14:paraId="30BA7CD3" w14:textId="77777777" w:rsidR="002C73E9" w:rsidRPr="00005853" w:rsidRDefault="002C73E9" w:rsidP="006838FB">
            <w:pPr>
              <w:pStyle w:val="BodyText"/>
              <w:jc w:val="center"/>
              <w:rPr>
                <w:color w:val="000000" w:themeColor="text1"/>
              </w:rPr>
            </w:pPr>
            <w:r w:rsidRPr="00005853">
              <w:rPr>
                <w:color w:val="000000" w:themeColor="text1"/>
              </w:rPr>
              <w:t>Incidence</w:t>
            </w:r>
          </w:p>
        </w:tc>
        <w:tc>
          <w:tcPr>
            <w:tcW w:w="2434" w:type="dxa"/>
            <w:shd w:val="clear" w:color="auto" w:fill="auto"/>
          </w:tcPr>
          <w:p w14:paraId="7D537221" w14:textId="77777777" w:rsidR="002C73E9" w:rsidRPr="00005853" w:rsidRDefault="002C73E9" w:rsidP="006838FB">
            <w:pPr>
              <w:pStyle w:val="BodyText"/>
              <w:rPr>
                <w:color w:val="000000" w:themeColor="text1"/>
              </w:rPr>
            </w:pPr>
            <w:r w:rsidRPr="00005853">
              <w:rPr>
                <w:color w:val="000000" w:themeColor="text1"/>
              </w:rPr>
              <w:t>Centers for Disease Control and Prevention</w:t>
            </w:r>
          </w:p>
        </w:tc>
        <w:tc>
          <w:tcPr>
            <w:tcW w:w="1503" w:type="dxa"/>
            <w:shd w:val="clear" w:color="auto" w:fill="auto"/>
          </w:tcPr>
          <w:p w14:paraId="054E6722" w14:textId="77777777" w:rsidR="002C73E9" w:rsidRPr="00005853" w:rsidRDefault="002C73E9" w:rsidP="006838FB">
            <w:pPr>
              <w:pStyle w:val="BodyText"/>
              <w:jc w:val="center"/>
              <w:rPr>
                <w:color w:val="000000" w:themeColor="text1"/>
              </w:rPr>
            </w:pPr>
            <w:r w:rsidRPr="00005853">
              <w:rPr>
                <w:color w:val="000000" w:themeColor="text1"/>
              </w:rPr>
              <w:t>Endorsement removed 2012</w:t>
            </w:r>
          </w:p>
        </w:tc>
      </w:tr>
      <w:tr w:rsidR="002C73E9" w:rsidRPr="00005853" w14:paraId="35591C88" w14:textId="77777777" w:rsidTr="006838FB">
        <w:trPr>
          <w:cantSplit/>
          <w:trHeight w:val="260"/>
        </w:trPr>
        <w:tc>
          <w:tcPr>
            <w:tcW w:w="3711" w:type="dxa"/>
            <w:shd w:val="clear" w:color="auto" w:fill="auto"/>
          </w:tcPr>
          <w:p w14:paraId="7C256040" w14:textId="77777777" w:rsidR="002C73E9" w:rsidRPr="00995131" w:rsidRDefault="002C73E9" w:rsidP="006838FB">
            <w:pPr>
              <w:pStyle w:val="BodyText"/>
              <w:rPr>
                <w:b/>
                <w:bCs/>
                <w:color w:val="000000" w:themeColor="text1"/>
              </w:rPr>
            </w:pPr>
            <w:r w:rsidRPr="00995131">
              <w:rPr>
                <w:b/>
                <w:bCs/>
                <w:color w:val="000000" w:themeColor="text1"/>
              </w:rPr>
              <w:t xml:space="preserve">Measures for other conditions that may influence or be </w:t>
            </w:r>
            <w:proofErr w:type="gramStart"/>
            <w:r w:rsidRPr="00995131">
              <w:rPr>
                <w:b/>
                <w:bCs/>
                <w:color w:val="000000" w:themeColor="text1"/>
              </w:rPr>
              <w:t>influence</w:t>
            </w:r>
            <w:proofErr w:type="gramEnd"/>
            <w:r w:rsidRPr="00995131">
              <w:rPr>
                <w:b/>
                <w:bCs/>
                <w:color w:val="000000" w:themeColor="text1"/>
              </w:rPr>
              <w:t xml:space="preserve"> by proposed eCQM</w:t>
            </w:r>
          </w:p>
        </w:tc>
        <w:tc>
          <w:tcPr>
            <w:tcW w:w="1877" w:type="dxa"/>
            <w:shd w:val="clear" w:color="auto" w:fill="auto"/>
            <w:vAlign w:val="center"/>
          </w:tcPr>
          <w:p w14:paraId="40EA780D" w14:textId="77777777" w:rsidR="002C73E9" w:rsidRPr="00005853" w:rsidRDefault="002C73E9" w:rsidP="006838FB">
            <w:pPr>
              <w:pStyle w:val="BodyText"/>
              <w:jc w:val="center"/>
              <w:rPr>
                <w:color w:val="000000" w:themeColor="text1"/>
              </w:rPr>
            </w:pPr>
            <w:r>
              <w:rPr>
                <w:color w:val="000000" w:themeColor="text1"/>
              </w:rPr>
              <w:t>*</w:t>
            </w:r>
          </w:p>
        </w:tc>
        <w:tc>
          <w:tcPr>
            <w:tcW w:w="2434" w:type="dxa"/>
            <w:shd w:val="clear" w:color="auto" w:fill="auto"/>
            <w:vAlign w:val="center"/>
          </w:tcPr>
          <w:p w14:paraId="7E0C6DD9" w14:textId="77777777" w:rsidR="002C73E9" w:rsidRPr="00005853" w:rsidRDefault="002C73E9" w:rsidP="006838FB">
            <w:pPr>
              <w:pStyle w:val="BodyText"/>
              <w:jc w:val="center"/>
              <w:rPr>
                <w:color w:val="000000" w:themeColor="text1"/>
              </w:rPr>
            </w:pPr>
            <w:r>
              <w:rPr>
                <w:color w:val="000000" w:themeColor="text1"/>
              </w:rPr>
              <w:t>*</w:t>
            </w:r>
          </w:p>
        </w:tc>
        <w:tc>
          <w:tcPr>
            <w:tcW w:w="1503" w:type="dxa"/>
            <w:shd w:val="clear" w:color="auto" w:fill="auto"/>
            <w:vAlign w:val="center"/>
          </w:tcPr>
          <w:p w14:paraId="3DDF29F3" w14:textId="77777777" w:rsidR="002C73E9" w:rsidRPr="00005853" w:rsidRDefault="002C73E9" w:rsidP="006838FB">
            <w:pPr>
              <w:pStyle w:val="BodyText"/>
              <w:jc w:val="center"/>
              <w:rPr>
                <w:color w:val="000000" w:themeColor="text1"/>
              </w:rPr>
            </w:pPr>
            <w:r>
              <w:rPr>
                <w:color w:val="000000" w:themeColor="text1"/>
              </w:rPr>
              <w:t>*</w:t>
            </w:r>
          </w:p>
        </w:tc>
      </w:tr>
      <w:tr w:rsidR="002C73E9" w:rsidRPr="00005853" w14:paraId="4861257F" w14:textId="77777777" w:rsidTr="006838FB">
        <w:trPr>
          <w:cantSplit/>
          <w:trHeight w:val="260"/>
        </w:trPr>
        <w:tc>
          <w:tcPr>
            <w:tcW w:w="3711" w:type="dxa"/>
            <w:shd w:val="clear" w:color="auto" w:fill="auto"/>
          </w:tcPr>
          <w:p w14:paraId="36A84B4C" w14:textId="77777777" w:rsidR="002C73E9" w:rsidRPr="00005853" w:rsidRDefault="002C73E9" w:rsidP="006838FB">
            <w:pPr>
              <w:pStyle w:val="BodyText"/>
              <w:rPr>
                <w:color w:val="000000" w:themeColor="text1"/>
              </w:rPr>
            </w:pPr>
            <w:r w:rsidRPr="00005853">
              <w:rPr>
                <w:color w:val="000000" w:themeColor="text1"/>
              </w:rPr>
              <w:t>CBE 0500 -- Severe Sepsis and Septic Shock: Management Bundle / SEP-1</w:t>
            </w:r>
          </w:p>
        </w:tc>
        <w:tc>
          <w:tcPr>
            <w:tcW w:w="1877" w:type="dxa"/>
            <w:shd w:val="clear" w:color="auto" w:fill="auto"/>
          </w:tcPr>
          <w:p w14:paraId="715D7DCB" w14:textId="77777777" w:rsidR="002C73E9" w:rsidRPr="00005853" w:rsidRDefault="002C73E9" w:rsidP="006838FB">
            <w:pPr>
              <w:pStyle w:val="BodyText"/>
              <w:jc w:val="center"/>
              <w:rPr>
                <w:color w:val="000000" w:themeColor="text1"/>
              </w:rPr>
            </w:pPr>
            <w:r w:rsidRPr="00005853">
              <w:rPr>
                <w:color w:val="000000" w:themeColor="text1"/>
              </w:rPr>
              <w:t>Diagnosis/Treatment</w:t>
            </w:r>
          </w:p>
        </w:tc>
        <w:tc>
          <w:tcPr>
            <w:tcW w:w="2434" w:type="dxa"/>
            <w:shd w:val="clear" w:color="auto" w:fill="auto"/>
          </w:tcPr>
          <w:p w14:paraId="2AAFD71F" w14:textId="77777777" w:rsidR="002C73E9" w:rsidRPr="00005853" w:rsidRDefault="002C73E9" w:rsidP="006838FB">
            <w:pPr>
              <w:pStyle w:val="BodyText"/>
              <w:rPr>
                <w:color w:val="000000" w:themeColor="text1"/>
              </w:rPr>
            </w:pPr>
            <w:r w:rsidRPr="00005853">
              <w:rPr>
                <w:color w:val="000000" w:themeColor="text1"/>
              </w:rPr>
              <w:t>Henry Ford Hospital</w:t>
            </w:r>
          </w:p>
        </w:tc>
        <w:tc>
          <w:tcPr>
            <w:tcW w:w="1503" w:type="dxa"/>
            <w:shd w:val="clear" w:color="auto" w:fill="auto"/>
          </w:tcPr>
          <w:p w14:paraId="36DC9C33" w14:textId="77777777" w:rsidR="002C73E9" w:rsidRPr="00005853" w:rsidRDefault="002C73E9" w:rsidP="006838FB">
            <w:pPr>
              <w:pStyle w:val="BodyText"/>
              <w:jc w:val="center"/>
              <w:rPr>
                <w:color w:val="000000" w:themeColor="text1"/>
              </w:rPr>
            </w:pPr>
            <w:r w:rsidRPr="00005853">
              <w:rPr>
                <w:color w:val="000000" w:themeColor="text1"/>
              </w:rPr>
              <w:t>Endorsed 2021</w:t>
            </w:r>
          </w:p>
        </w:tc>
      </w:tr>
      <w:tr w:rsidR="002C73E9" w:rsidRPr="00005853" w14:paraId="025A391D" w14:textId="77777777" w:rsidTr="006838FB">
        <w:trPr>
          <w:cantSplit/>
          <w:trHeight w:val="260"/>
        </w:trPr>
        <w:tc>
          <w:tcPr>
            <w:tcW w:w="3711" w:type="dxa"/>
            <w:shd w:val="clear" w:color="auto" w:fill="auto"/>
          </w:tcPr>
          <w:p w14:paraId="51E8523A" w14:textId="77777777" w:rsidR="002C73E9" w:rsidRPr="00005853" w:rsidRDefault="002C73E9" w:rsidP="006838FB">
            <w:pPr>
              <w:pStyle w:val="BodyText"/>
              <w:rPr>
                <w:color w:val="000000" w:themeColor="text1"/>
              </w:rPr>
            </w:pPr>
            <w:r w:rsidRPr="00005853">
              <w:rPr>
                <w:color w:val="000000" w:themeColor="text1"/>
              </w:rPr>
              <w:t xml:space="preserve">CBE 0058 – Avoidance of Antibiotic Treatment in Adults </w:t>
            </w:r>
            <w:proofErr w:type="gramStart"/>
            <w:r w:rsidRPr="00005853">
              <w:rPr>
                <w:color w:val="000000" w:themeColor="text1"/>
              </w:rPr>
              <w:t>With</w:t>
            </w:r>
            <w:proofErr w:type="gramEnd"/>
            <w:r w:rsidRPr="00005853">
              <w:rPr>
                <w:color w:val="000000" w:themeColor="text1"/>
              </w:rPr>
              <w:t xml:space="preserve"> Acute Bronchitis (AAB)</w:t>
            </w:r>
          </w:p>
        </w:tc>
        <w:tc>
          <w:tcPr>
            <w:tcW w:w="1877" w:type="dxa"/>
            <w:shd w:val="clear" w:color="auto" w:fill="auto"/>
          </w:tcPr>
          <w:p w14:paraId="58A753C9"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26462242" w14:textId="77777777" w:rsidR="002C73E9" w:rsidRPr="00005853" w:rsidRDefault="002C73E9" w:rsidP="006838FB">
            <w:pPr>
              <w:pStyle w:val="BodyText"/>
              <w:rPr>
                <w:color w:val="000000" w:themeColor="text1"/>
              </w:rPr>
            </w:pPr>
            <w:r w:rsidRPr="00005853">
              <w:rPr>
                <w:color w:val="000000" w:themeColor="text1"/>
              </w:rPr>
              <w:t>National Committee of Quality Assurance</w:t>
            </w:r>
          </w:p>
        </w:tc>
        <w:tc>
          <w:tcPr>
            <w:tcW w:w="1503" w:type="dxa"/>
            <w:shd w:val="clear" w:color="auto" w:fill="auto"/>
          </w:tcPr>
          <w:p w14:paraId="6B9D0874" w14:textId="77777777" w:rsidR="002C73E9" w:rsidRPr="00005853" w:rsidRDefault="002C73E9" w:rsidP="006838FB">
            <w:pPr>
              <w:pStyle w:val="BodyText"/>
              <w:jc w:val="center"/>
              <w:rPr>
                <w:color w:val="000000" w:themeColor="text1"/>
              </w:rPr>
            </w:pPr>
            <w:r w:rsidRPr="00005853">
              <w:rPr>
                <w:color w:val="000000" w:themeColor="text1"/>
              </w:rPr>
              <w:t>Endorsed 2021</w:t>
            </w:r>
          </w:p>
        </w:tc>
      </w:tr>
      <w:tr w:rsidR="002C73E9" w:rsidRPr="00005853" w14:paraId="7292DF88" w14:textId="77777777" w:rsidTr="006838FB">
        <w:trPr>
          <w:cantSplit/>
          <w:trHeight w:val="260"/>
        </w:trPr>
        <w:tc>
          <w:tcPr>
            <w:tcW w:w="3711" w:type="dxa"/>
            <w:shd w:val="clear" w:color="auto" w:fill="auto"/>
          </w:tcPr>
          <w:p w14:paraId="5A4DC176" w14:textId="77777777" w:rsidR="002C73E9" w:rsidRPr="00005853" w:rsidRDefault="002C73E9" w:rsidP="006838FB">
            <w:pPr>
              <w:pStyle w:val="BodyText"/>
              <w:rPr>
                <w:color w:val="000000" w:themeColor="text1"/>
              </w:rPr>
            </w:pPr>
            <w:r w:rsidRPr="00005853">
              <w:rPr>
                <w:color w:val="000000" w:themeColor="text1"/>
              </w:rPr>
              <w:lastRenderedPageBreak/>
              <w:t>CBE 1891 - Hospital 30-day, all-cause, risk-standardized readmission rate (RSRR) following chronic obstructive pulmonary disease (COPD) hospitalization</w:t>
            </w:r>
          </w:p>
        </w:tc>
        <w:tc>
          <w:tcPr>
            <w:tcW w:w="1877" w:type="dxa"/>
            <w:shd w:val="clear" w:color="auto" w:fill="auto"/>
          </w:tcPr>
          <w:p w14:paraId="7403A0FC" w14:textId="77777777" w:rsidR="002C73E9" w:rsidRPr="00005853" w:rsidRDefault="002C73E9" w:rsidP="006838FB">
            <w:pPr>
              <w:pStyle w:val="BodyText"/>
              <w:jc w:val="center"/>
              <w:rPr>
                <w:color w:val="000000" w:themeColor="text1"/>
              </w:rPr>
            </w:pPr>
            <w:r w:rsidRPr="00005853">
              <w:rPr>
                <w:color w:val="000000" w:themeColor="text1"/>
              </w:rPr>
              <w:t>Outcome</w:t>
            </w:r>
          </w:p>
        </w:tc>
        <w:tc>
          <w:tcPr>
            <w:tcW w:w="2434" w:type="dxa"/>
            <w:shd w:val="clear" w:color="auto" w:fill="auto"/>
          </w:tcPr>
          <w:p w14:paraId="4A43E193" w14:textId="77777777" w:rsidR="002C73E9" w:rsidRPr="00005853" w:rsidRDefault="002C73E9" w:rsidP="006838FB">
            <w:pPr>
              <w:pStyle w:val="BodyText"/>
              <w:rPr>
                <w:color w:val="000000" w:themeColor="text1"/>
              </w:rPr>
            </w:pPr>
            <w:r w:rsidRPr="00005853">
              <w:rPr>
                <w:color w:val="000000" w:themeColor="text1"/>
              </w:rPr>
              <w:t>Centers for Medicare &amp; Medicaid Services</w:t>
            </w:r>
          </w:p>
        </w:tc>
        <w:tc>
          <w:tcPr>
            <w:tcW w:w="1503" w:type="dxa"/>
            <w:shd w:val="clear" w:color="auto" w:fill="auto"/>
          </w:tcPr>
          <w:p w14:paraId="2931B253" w14:textId="77777777" w:rsidR="002C73E9" w:rsidRPr="00005853" w:rsidRDefault="002C73E9" w:rsidP="006838FB">
            <w:pPr>
              <w:pStyle w:val="BodyText"/>
              <w:jc w:val="center"/>
              <w:rPr>
                <w:color w:val="000000" w:themeColor="text1"/>
              </w:rPr>
            </w:pPr>
            <w:r w:rsidRPr="00005853">
              <w:rPr>
                <w:color w:val="000000" w:themeColor="text1"/>
              </w:rPr>
              <w:t>Endorsed 2021</w:t>
            </w:r>
          </w:p>
        </w:tc>
      </w:tr>
      <w:tr w:rsidR="002C73E9" w:rsidRPr="00005853" w14:paraId="7D7955E5" w14:textId="77777777" w:rsidTr="006838FB">
        <w:trPr>
          <w:cantSplit/>
          <w:trHeight w:val="260"/>
        </w:trPr>
        <w:tc>
          <w:tcPr>
            <w:tcW w:w="3711" w:type="dxa"/>
            <w:shd w:val="clear" w:color="auto" w:fill="auto"/>
          </w:tcPr>
          <w:p w14:paraId="07966C41" w14:textId="77777777" w:rsidR="002C73E9" w:rsidRPr="00005853" w:rsidRDefault="002C73E9" w:rsidP="006838FB">
            <w:pPr>
              <w:pStyle w:val="BodyText"/>
              <w:rPr>
                <w:color w:val="000000" w:themeColor="text1"/>
              </w:rPr>
            </w:pPr>
            <w:r w:rsidRPr="00005853">
              <w:rPr>
                <w:color w:val="000000" w:themeColor="text1"/>
              </w:rPr>
              <w:t>CBE 1893 – Hospital 30-Day, all-cause, risk-standardized mortality rate (RSMR) following chronic obstructive pulmonary disease (COPD) hospitalization</w:t>
            </w:r>
          </w:p>
        </w:tc>
        <w:tc>
          <w:tcPr>
            <w:tcW w:w="1877" w:type="dxa"/>
            <w:shd w:val="clear" w:color="auto" w:fill="auto"/>
          </w:tcPr>
          <w:p w14:paraId="30C3B93B" w14:textId="77777777" w:rsidR="002C73E9" w:rsidRPr="00005853" w:rsidRDefault="002C73E9" w:rsidP="006838FB">
            <w:pPr>
              <w:pStyle w:val="BodyText"/>
              <w:jc w:val="center"/>
              <w:rPr>
                <w:color w:val="000000" w:themeColor="text1"/>
              </w:rPr>
            </w:pPr>
            <w:r w:rsidRPr="00005853">
              <w:rPr>
                <w:color w:val="000000" w:themeColor="text1"/>
              </w:rPr>
              <w:t>Outcome</w:t>
            </w:r>
          </w:p>
        </w:tc>
        <w:tc>
          <w:tcPr>
            <w:tcW w:w="2434" w:type="dxa"/>
            <w:shd w:val="clear" w:color="auto" w:fill="auto"/>
          </w:tcPr>
          <w:p w14:paraId="5FA5C813" w14:textId="77777777" w:rsidR="002C73E9" w:rsidRPr="00005853" w:rsidRDefault="002C73E9" w:rsidP="006838FB">
            <w:pPr>
              <w:pStyle w:val="BodyText"/>
              <w:rPr>
                <w:color w:val="000000" w:themeColor="text1"/>
              </w:rPr>
            </w:pPr>
            <w:r w:rsidRPr="00005853">
              <w:rPr>
                <w:color w:val="000000" w:themeColor="text1"/>
              </w:rPr>
              <w:t>Centers for Medicare &amp; Medicaid Services</w:t>
            </w:r>
          </w:p>
        </w:tc>
        <w:tc>
          <w:tcPr>
            <w:tcW w:w="1503" w:type="dxa"/>
            <w:shd w:val="clear" w:color="auto" w:fill="auto"/>
          </w:tcPr>
          <w:p w14:paraId="75F97138" w14:textId="77777777" w:rsidR="002C73E9" w:rsidRPr="00005853" w:rsidRDefault="002C73E9" w:rsidP="006838FB">
            <w:pPr>
              <w:pStyle w:val="BodyText"/>
              <w:jc w:val="center"/>
              <w:rPr>
                <w:color w:val="000000" w:themeColor="text1"/>
              </w:rPr>
            </w:pPr>
            <w:r w:rsidRPr="00005853">
              <w:rPr>
                <w:color w:val="000000" w:themeColor="text1"/>
              </w:rPr>
              <w:t>Endorsed 2021</w:t>
            </w:r>
          </w:p>
        </w:tc>
      </w:tr>
      <w:tr w:rsidR="002C73E9" w:rsidRPr="00005853" w14:paraId="247C8915" w14:textId="77777777" w:rsidTr="006838FB">
        <w:trPr>
          <w:cantSplit/>
          <w:trHeight w:val="260"/>
        </w:trPr>
        <w:tc>
          <w:tcPr>
            <w:tcW w:w="3711" w:type="dxa"/>
            <w:shd w:val="clear" w:color="auto" w:fill="auto"/>
          </w:tcPr>
          <w:p w14:paraId="32E12967" w14:textId="77777777" w:rsidR="002C73E9" w:rsidRPr="00005853" w:rsidRDefault="002C73E9" w:rsidP="006838FB">
            <w:pPr>
              <w:pStyle w:val="BodyText"/>
              <w:rPr>
                <w:color w:val="000000" w:themeColor="text1"/>
              </w:rPr>
            </w:pPr>
            <w:r w:rsidRPr="00005853">
              <w:rPr>
                <w:color w:val="000000" w:themeColor="text1"/>
              </w:rPr>
              <w:t>CBE 2859 Pharmacotherapy Management of COPD Exacerbation</w:t>
            </w:r>
          </w:p>
        </w:tc>
        <w:tc>
          <w:tcPr>
            <w:tcW w:w="1877" w:type="dxa"/>
            <w:shd w:val="clear" w:color="auto" w:fill="auto"/>
          </w:tcPr>
          <w:p w14:paraId="02FE2DF6" w14:textId="77777777" w:rsidR="002C73E9" w:rsidRPr="00005853" w:rsidRDefault="002C73E9" w:rsidP="006838FB">
            <w:pPr>
              <w:pStyle w:val="BodyText"/>
              <w:jc w:val="center"/>
              <w:rPr>
                <w:color w:val="000000" w:themeColor="text1"/>
              </w:rPr>
            </w:pPr>
            <w:r w:rsidRPr="00005853">
              <w:rPr>
                <w:color w:val="000000" w:themeColor="text1"/>
              </w:rPr>
              <w:t>Treatment</w:t>
            </w:r>
          </w:p>
        </w:tc>
        <w:tc>
          <w:tcPr>
            <w:tcW w:w="2434" w:type="dxa"/>
            <w:shd w:val="clear" w:color="auto" w:fill="auto"/>
          </w:tcPr>
          <w:p w14:paraId="6C35EC2A" w14:textId="77777777" w:rsidR="002C73E9" w:rsidRPr="00005853" w:rsidRDefault="002C73E9" w:rsidP="006838FB">
            <w:pPr>
              <w:pStyle w:val="BodyText"/>
              <w:rPr>
                <w:color w:val="000000" w:themeColor="text1"/>
              </w:rPr>
            </w:pPr>
            <w:r w:rsidRPr="00005853">
              <w:rPr>
                <w:color w:val="000000" w:themeColor="text1"/>
              </w:rPr>
              <w:t>National Committee of Quality Assurance</w:t>
            </w:r>
          </w:p>
        </w:tc>
        <w:tc>
          <w:tcPr>
            <w:tcW w:w="1503" w:type="dxa"/>
            <w:shd w:val="clear" w:color="auto" w:fill="auto"/>
          </w:tcPr>
          <w:p w14:paraId="6BB1F122" w14:textId="77777777" w:rsidR="002C73E9" w:rsidRPr="00005853" w:rsidRDefault="002C73E9" w:rsidP="006838FB">
            <w:pPr>
              <w:pStyle w:val="BodyText"/>
              <w:jc w:val="center"/>
              <w:rPr>
                <w:color w:val="000000" w:themeColor="text1"/>
              </w:rPr>
            </w:pPr>
            <w:r w:rsidRPr="00005853">
              <w:rPr>
                <w:color w:val="000000" w:themeColor="text1"/>
              </w:rPr>
              <w:t>Endorsed 2021</w:t>
            </w:r>
          </w:p>
        </w:tc>
      </w:tr>
    </w:tbl>
    <w:bookmarkEnd w:id="18"/>
    <w:p w14:paraId="58A3BB7A" w14:textId="77777777" w:rsidR="002C73E9" w:rsidRPr="00995131" w:rsidRDefault="002C73E9" w:rsidP="002C73E9">
      <w:pPr>
        <w:rPr>
          <w:rFonts w:ascii="Arial" w:hAnsi="Arial" w:cs="Arial"/>
          <w:sz w:val="18"/>
          <w:szCs w:val="18"/>
        </w:rPr>
      </w:pPr>
      <w:r w:rsidRPr="00995131">
        <w:rPr>
          <w:rFonts w:ascii="Arial" w:hAnsi="Arial" w:cs="Arial"/>
          <w:sz w:val="18"/>
          <w:szCs w:val="18"/>
        </w:rPr>
        <w:t>*</w:t>
      </w:r>
      <w:proofErr w:type="gramStart"/>
      <w:r w:rsidRPr="00995131">
        <w:rPr>
          <w:rFonts w:ascii="Arial" w:hAnsi="Arial" w:cs="Arial"/>
          <w:sz w:val="18"/>
          <w:szCs w:val="18"/>
        </w:rPr>
        <w:t>cells</w:t>
      </w:r>
      <w:proofErr w:type="gramEnd"/>
      <w:r w:rsidRPr="00995131">
        <w:rPr>
          <w:rFonts w:ascii="Arial" w:hAnsi="Arial" w:cs="Arial"/>
          <w:sz w:val="18"/>
          <w:szCs w:val="18"/>
        </w:rPr>
        <w:t xml:space="preserve"> intentionally left empty</w:t>
      </w:r>
    </w:p>
    <w:bookmarkEnd w:id="17"/>
    <w:p w14:paraId="7EE976D7" w14:textId="5A00F0CB" w:rsidR="009865B5" w:rsidRDefault="009865B5">
      <w:pPr>
        <w:rPr>
          <w:rFonts w:ascii="Arial" w:hAnsi="Arial" w:cs="Arial"/>
          <w:b/>
          <w:bCs/>
          <w:sz w:val="22"/>
          <w:szCs w:val="22"/>
        </w:rPr>
      </w:pPr>
      <w:r>
        <w:rPr>
          <w:rFonts w:ascii="Arial" w:hAnsi="Arial" w:cs="Arial"/>
          <w:b/>
          <w:bCs/>
          <w:sz w:val="22"/>
          <w:szCs w:val="22"/>
        </w:rPr>
        <w:br w:type="page"/>
      </w:r>
    </w:p>
    <w:p w14:paraId="792D44C9" w14:textId="77777777" w:rsidR="009E1C8E" w:rsidRDefault="009E1C8E" w:rsidP="00427F2B">
      <w:pPr>
        <w:spacing w:line="245" w:lineRule="auto"/>
        <w:rPr>
          <w:rFonts w:ascii="Arial" w:hAnsi="Arial" w:cs="Arial"/>
          <w:b/>
          <w:bCs/>
          <w:sz w:val="22"/>
          <w:szCs w:val="22"/>
        </w:rPr>
        <w:sectPr w:rsidR="009E1C8E" w:rsidSect="00B13EB2">
          <w:pgSz w:w="12240" w:h="15840"/>
          <w:pgMar w:top="720" w:right="720" w:bottom="720" w:left="720" w:header="720" w:footer="720" w:gutter="0"/>
          <w:cols w:space="720"/>
          <w:docGrid w:linePitch="360"/>
        </w:sectPr>
      </w:pPr>
    </w:p>
    <w:p w14:paraId="0164B931" w14:textId="04D51DEB" w:rsidR="00427F2B" w:rsidRPr="001430EE" w:rsidRDefault="00427F2B" w:rsidP="00427F2B">
      <w:pPr>
        <w:spacing w:line="245" w:lineRule="auto"/>
        <w:rPr>
          <w:rFonts w:ascii="Arial" w:hAnsi="Arial" w:cs="Arial"/>
          <w:b/>
          <w:bCs/>
          <w:sz w:val="22"/>
          <w:szCs w:val="22"/>
        </w:rPr>
      </w:pPr>
      <w:r w:rsidRPr="001430EE">
        <w:rPr>
          <w:rFonts w:ascii="Arial" w:hAnsi="Arial" w:cs="Arial"/>
          <w:b/>
          <w:bCs/>
          <w:sz w:val="22"/>
          <w:szCs w:val="22"/>
        </w:rPr>
        <w:lastRenderedPageBreak/>
        <w:t>Calculation of Measure Score:</w:t>
      </w:r>
    </w:p>
    <w:p w14:paraId="5185ADE7" w14:textId="77777777" w:rsidR="00427F2B" w:rsidRDefault="00427F2B" w:rsidP="00427F2B">
      <w:pPr>
        <w:spacing w:line="245" w:lineRule="auto"/>
        <w:rPr>
          <w:rFonts w:ascii="Arial" w:hAnsi="Arial" w:cs="Arial"/>
          <w:sz w:val="22"/>
          <w:szCs w:val="22"/>
        </w:rPr>
      </w:pPr>
    </w:p>
    <w:p w14:paraId="6F3793EE" w14:textId="4232F4BE" w:rsidR="00427F2B" w:rsidRDefault="00427F2B" w:rsidP="00427F2B">
      <w:pPr>
        <w:spacing w:line="245" w:lineRule="auto"/>
        <w:rPr>
          <w:rFonts w:ascii="Arial" w:hAnsi="Arial" w:cs="Arial"/>
          <w:sz w:val="22"/>
          <w:szCs w:val="22"/>
        </w:rPr>
      </w:pPr>
      <w:r w:rsidRPr="000B0F82">
        <w:rPr>
          <w:i/>
          <w:iCs/>
          <w:noProof/>
          <w:color w:val="0070C0"/>
          <w:sz w:val="22"/>
          <w:szCs w:val="22"/>
        </w:rPr>
        <w:drawing>
          <wp:inline distT="0" distB="0" distL="0" distR="0" wp14:anchorId="37E3EA6D" wp14:editId="1F219D27">
            <wp:extent cx="8729133" cy="5402548"/>
            <wp:effectExtent l="0" t="0" r="0" b="8255"/>
            <wp:docPr id="73705894" name="Picture 1" descr="A screenshot of a computer&#10;&#10;Description automatically generated">
              <a:extLst xmlns:a="http://schemas.openxmlformats.org/drawingml/2006/main">
                <a:ext uri="{FF2B5EF4-FFF2-40B4-BE49-F238E27FC236}">
                  <a16:creationId xmlns:a16="http://schemas.microsoft.com/office/drawing/2014/main" id="{E03DB697-BD52-13D9-8C1F-604FDCBBA8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05894" name="Picture 1" descr="A screenshot of a computer&#10;&#10;Description automatically generated">
                      <a:extLst>
                        <a:ext uri="{FF2B5EF4-FFF2-40B4-BE49-F238E27FC236}">
                          <a16:creationId xmlns:a16="http://schemas.microsoft.com/office/drawing/2014/main" id="{E03DB697-BD52-13D9-8C1F-604FDCBBA89A}"/>
                        </a:ext>
                      </a:extLst>
                    </pic:cNvPr>
                    <pic:cNvPicPr>
                      <a:picLocks noChangeAspect="1"/>
                    </pic:cNvPicPr>
                  </pic:nvPicPr>
                  <pic:blipFill>
                    <a:blip r:embed="rId13"/>
                    <a:stretch>
                      <a:fillRect/>
                    </a:stretch>
                  </pic:blipFill>
                  <pic:spPr>
                    <a:xfrm>
                      <a:off x="0" y="0"/>
                      <a:ext cx="8813242" cy="5454604"/>
                    </a:xfrm>
                    <a:prstGeom prst="rect">
                      <a:avLst/>
                    </a:prstGeom>
                  </pic:spPr>
                </pic:pic>
              </a:graphicData>
            </a:graphic>
          </wp:inline>
        </w:drawing>
      </w:r>
    </w:p>
    <w:p w14:paraId="4F6095E3" w14:textId="77777777" w:rsidR="00427F2B" w:rsidRDefault="00427F2B" w:rsidP="00427F2B">
      <w:pPr>
        <w:spacing w:line="245" w:lineRule="auto"/>
        <w:rPr>
          <w:rFonts w:ascii="Arial" w:hAnsi="Arial" w:cs="Arial"/>
          <w:sz w:val="22"/>
          <w:szCs w:val="22"/>
        </w:rPr>
      </w:pPr>
    </w:p>
    <w:p w14:paraId="2D233685" w14:textId="77777777" w:rsidR="00427F2B" w:rsidRPr="009E1C8E" w:rsidRDefault="00427F2B" w:rsidP="00427F2B">
      <w:pPr>
        <w:spacing w:line="245" w:lineRule="auto"/>
        <w:rPr>
          <w:rFonts w:ascii="Arial" w:hAnsi="Arial" w:cs="Arial"/>
          <w:sz w:val="18"/>
          <w:szCs w:val="18"/>
        </w:rPr>
      </w:pPr>
      <w:r w:rsidRPr="009E1C8E">
        <w:rPr>
          <w:rFonts w:ascii="Arial" w:hAnsi="Arial" w:cs="Arial"/>
          <w:sz w:val="18"/>
          <w:szCs w:val="18"/>
        </w:rPr>
        <w:t>Step 1: Define Initial Population and Denominator</w:t>
      </w:r>
    </w:p>
    <w:p w14:paraId="3AEF60C3" w14:textId="77777777" w:rsidR="00427F2B" w:rsidRPr="009E1C8E" w:rsidRDefault="00427F2B" w:rsidP="00427F2B">
      <w:pPr>
        <w:spacing w:line="245" w:lineRule="auto"/>
        <w:rPr>
          <w:rFonts w:ascii="Arial" w:hAnsi="Arial" w:cs="Arial"/>
          <w:sz w:val="18"/>
          <w:szCs w:val="18"/>
        </w:rPr>
      </w:pPr>
      <w:r w:rsidRPr="009E1C8E">
        <w:rPr>
          <w:rFonts w:ascii="Arial" w:hAnsi="Arial" w:cs="Arial"/>
          <w:sz w:val="18"/>
          <w:szCs w:val="18"/>
        </w:rPr>
        <w:t>Step 2: Apply denominator exclusions</w:t>
      </w:r>
    </w:p>
    <w:p w14:paraId="0C5FE785" w14:textId="77777777" w:rsidR="00427F2B" w:rsidRPr="009E1C8E" w:rsidRDefault="00427F2B" w:rsidP="00427F2B">
      <w:pPr>
        <w:spacing w:line="245" w:lineRule="auto"/>
        <w:rPr>
          <w:rFonts w:ascii="Arial" w:hAnsi="Arial" w:cs="Arial"/>
          <w:sz w:val="18"/>
          <w:szCs w:val="18"/>
        </w:rPr>
      </w:pPr>
      <w:r w:rsidRPr="009E1C8E">
        <w:rPr>
          <w:rFonts w:ascii="Arial" w:hAnsi="Arial" w:cs="Arial"/>
          <w:sz w:val="18"/>
          <w:szCs w:val="18"/>
        </w:rPr>
        <w:t>Step 3: Define the numerator</w:t>
      </w:r>
    </w:p>
    <w:p w14:paraId="684DF81D" w14:textId="6796B54F" w:rsidR="00486111" w:rsidRPr="009E1C8E" w:rsidRDefault="00427F2B" w:rsidP="009E1C8E">
      <w:pPr>
        <w:spacing w:line="245" w:lineRule="auto"/>
        <w:rPr>
          <w:rFonts w:ascii="Arial" w:hAnsi="Arial" w:cs="Arial"/>
          <w:sz w:val="18"/>
          <w:szCs w:val="18"/>
        </w:rPr>
      </w:pPr>
      <w:r w:rsidRPr="009E1C8E">
        <w:rPr>
          <w:rFonts w:ascii="Arial" w:hAnsi="Arial" w:cs="Arial"/>
          <w:sz w:val="18"/>
          <w:szCs w:val="18"/>
        </w:rPr>
        <w:t>Step 4: Calculate the measure score: (numerator/denominator)*100</w:t>
      </w:r>
      <w:r w:rsidR="00486111">
        <w:rPr>
          <w:b/>
          <w:bCs/>
          <w:sz w:val="22"/>
          <w:szCs w:val="22"/>
        </w:rPr>
        <w:br w:type="page"/>
      </w:r>
    </w:p>
    <w:p w14:paraId="58B4DA44" w14:textId="77777777" w:rsidR="009E1C8E" w:rsidRDefault="009E1C8E" w:rsidP="003A38EE">
      <w:pPr>
        <w:pStyle w:val="BodyText"/>
        <w:rPr>
          <w:b/>
          <w:bCs/>
          <w:sz w:val="22"/>
          <w:szCs w:val="22"/>
        </w:rPr>
        <w:sectPr w:rsidR="009E1C8E" w:rsidSect="009E1C8E">
          <w:pgSz w:w="15840" w:h="12240" w:orient="landscape"/>
          <w:pgMar w:top="720" w:right="720" w:bottom="720" w:left="720" w:header="720" w:footer="720" w:gutter="0"/>
          <w:cols w:space="720"/>
          <w:docGrid w:linePitch="360"/>
        </w:sectPr>
      </w:pPr>
    </w:p>
    <w:p w14:paraId="0D2C44F6" w14:textId="6AA962A0" w:rsidR="003A38EE" w:rsidRDefault="007D4F57" w:rsidP="003A38EE">
      <w:pPr>
        <w:pStyle w:val="BodyText"/>
        <w:rPr>
          <w:b/>
          <w:bCs/>
          <w:sz w:val="22"/>
          <w:szCs w:val="22"/>
        </w:rPr>
      </w:pPr>
      <w:r>
        <w:rPr>
          <w:b/>
          <w:bCs/>
          <w:sz w:val="22"/>
          <w:szCs w:val="22"/>
        </w:rPr>
        <w:lastRenderedPageBreak/>
        <w:t>Feasibility</w:t>
      </w:r>
    </w:p>
    <w:p w14:paraId="451D73C3" w14:textId="77777777" w:rsidR="00486111" w:rsidRDefault="00486111" w:rsidP="003A38EE">
      <w:pPr>
        <w:pStyle w:val="BodyText"/>
        <w:rPr>
          <w:b/>
          <w:bCs/>
          <w:sz w:val="22"/>
          <w:szCs w:val="22"/>
        </w:rPr>
      </w:pPr>
    </w:p>
    <w:p w14:paraId="04EB735D" w14:textId="2D3D3CAD" w:rsidR="00486111" w:rsidRDefault="00486111" w:rsidP="003A38EE">
      <w:pPr>
        <w:pStyle w:val="BodyText"/>
        <w:rPr>
          <w:b/>
          <w:bCs/>
          <w:sz w:val="22"/>
          <w:szCs w:val="22"/>
        </w:rPr>
      </w:pPr>
      <w:r>
        <w:rPr>
          <w:b/>
          <w:bCs/>
          <w:sz w:val="22"/>
          <w:szCs w:val="22"/>
        </w:rPr>
        <w:t>Feasibility Assessment</w:t>
      </w:r>
    </w:p>
    <w:p w14:paraId="6634B08A" w14:textId="77777777" w:rsidR="00486111" w:rsidRPr="009B036F" w:rsidRDefault="00486111" w:rsidP="00486111">
      <w:pPr>
        <w:pStyle w:val="BodyText"/>
        <w:rPr>
          <w:rFonts w:ascii="Aptos" w:hAnsi="Aptos"/>
          <w:sz w:val="22"/>
          <w:szCs w:val="22"/>
        </w:rPr>
      </w:pPr>
      <w:bookmarkStart w:id="19" w:name="_Hlk179462028"/>
      <w:r w:rsidRPr="009B036F">
        <w:rPr>
          <w:rFonts w:ascii="Aptos" w:hAnsi="Aptos"/>
          <w:sz w:val="22"/>
          <w:szCs w:val="22"/>
        </w:rPr>
        <w:t>We implemented and tested the proposed eCQM within 3 health systems to assess: 1) whether all required data elements were routinely generated during the care of CAP hospitalizations, 2) which barriers or challenges exist when implementing and extracting the measure from current healthcare data to inform our feasibility scorecard, and 3) whether any elements were uncommon or able to be removed to simplify the measure.</w:t>
      </w:r>
    </w:p>
    <w:p w14:paraId="0E6592B9" w14:textId="77777777" w:rsidR="00486111" w:rsidRPr="009B036F" w:rsidRDefault="00486111" w:rsidP="00486111">
      <w:pPr>
        <w:pStyle w:val="BodyText"/>
        <w:rPr>
          <w:rFonts w:ascii="Aptos" w:hAnsi="Aptos"/>
          <w:sz w:val="22"/>
          <w:szCs w:val="22"/>
        </w:rPr>
      </w:pPr>
    </w:p>
    <w:p w14:paraId="69BA8EF5" w14:textId="77777777" w:rsidR="00486111" w:rsidRPr="009B036F" w:rsidRDefault="00486111" w:rsidP="00486111">
      <w:pPr>
        <w:pStyle w:val="BodyText"/>
        <w:rPr>
          <w:rFonts w:ascii="Aptos" w:hAnsi="Aptos"/>
          <w:sz w:val="22"/>
          <w:szCs w:val="22"/>
        </w:rPr>
      </w:pPr>
      <w:r w:rsidRPr="009B036F">
        <w:rPr>
          <w:rFonts w:ascii="Aptos" w:hAnsi="Aptos"/>
          <w:sz w:val="22"/>
          <w:szCs w:val="22"/>
        </w:rPr>
        <w:t xml:space="preserve">First, </w:t>
      </w:r>
      <w:proofErr w:type="gramStart"/>
      <w:r w:rsidRPr="009B036F">
        <w:rPr>
          <w:rFonts w:ascii="Aptos" w:hAnsi="Aptos"/>
          <w:sz w:val="22"/>
          <w:szCs w:val="22"/>
        </w:rPr>
        <w:t>all of</w:t>
      </w:r>
      <w:proofErr w:type="gramEnd"/>
      <w:r w:rsidRPr="009B036F">
        <w:rPr>
          <w:rFonts w:ascii="Aptos" w:hAnsi="Aptos"/>
          <w:sz w:val="22"/>
          <w:szCs w:val="22"/>
        </w:rPr>
        <w:t xml:space="preserve"> the </w:t>
      </w:r>
      <w:proofErr w:type="gramStart"/>
      <w:r w:rsidRPr="009B036F">
        <w:rPr>
          <w:rFonts w:ascii="Aptos" w:hAnsi="Aptos"/>
          <w:sz w:val="22"/>
          <w:szCs w:val="22"/>
        </w:rPr>
        <w:t>data elements</w:t>
      </w:r>
      <w:proofErr w:type="gramEnd"/>
      <w:r w:rsidRPr="009B036F">
        <w:rPr>
          <w:rFonts w:ascii="Aptos" w:hAnsi="Aptos"/>
          <w:sz w:val="22"/>
          <w:szCs w:val="22"/>
        </w:rPr>
        <w:t xml:space="preserve"> collected are already part of normal healthcare system processes for care delivery and billing, so documentation of these items for the proposed eCQM do not add any additional burdens for a healthcare system including clinician workflow, diagnostic thought processes, or patient-physician interactions. During the normal course of care, inpatient clinicians must document within the EHR a discharge diagnosis of pneumonia, order antimicrobials that are recorded in the EHR, and obtain labs, vital signs, and chest imaging that generates a result in the form of structured data that is stored in the EHR. One of our main goals of the measure was to leverage the most reliable, accurate and standardized data elements and to provide a simple, transparent measure that could be consistently extracted, calculated, and interpreted without substantial data resources or expertise.</w:t>
      </w:r>
      <w:r>
        <w:rPr>
          <w:rFonts w:ascii="Aptos" w:hAnsi="Aptos"/>
          <w:sz w:val="22"/>
          <w:szCs w:val="22"/>
        </w:rPr>
        <w:t xml:space="preserve"> </w:t>
      </w:r>
      <w:r w:rsidRPr="009B036F">
        <w:rPr>
          <w:rFonts w:ascii="Aptos" w:hAnsi="Aptos"/>
          <w:sz w:val="22"/>
          <w:szCs w:val="22"/>
        </w:rPr>
        <w:t>To accomplish this goal, our measure only uses structured data and does not require unstructured data or natural language processing.</w:t>
      </w:r>
    </w:p>
    <w:p w14:paraId="350B3F58" w14:textId="77777777" w:rsidR="00486111" w:rsidRPr="009B036F" w:rsidRDefault="00486111" w:rsidP="00486111">
      <w:pPr>
        <w:pStyle w:val="BodyText"/>
        <w:rPr>
          <w:rFonts w:ascii="Aptos" w:hAnsi="Aptos"/>
          <w:sz w:val="22"/>
          <w:szCs w:val="22"/>
        </w:rPr>
      </w:pPr>
    </w:p>
    <w:p w14:paraId="0B89F3DB" w14:textId="77777777" w:rsidR="00486111" w:rsidRPr="009B036F" w:rsidRDefault="00486111" w:rsidP="00486111">
      <w:pPr>
        <w:pStyle w:val="BodyText"/>
        <w:rPr>
          <w:rFonts w:ascii="Aptos" w:hAnsi="Aptos"/>
          <w:sz w:val="22"/>
          <w:szCs w:val="22"/>
        </w:rPr>
      </w:pPr>
      <w:bookmarkStart w:id="20" w:name="_Hlk180232997"/>
      <w:r w:rsidRPr="009B036F">
        <w:rPr>
          <w:rFonts w:ascii="Aptos" w:hAnsi="Aptos"/>
          <w:sz w:val="22"/>
          <w:szCs w:val="22"/>
        </w:rPr>
        <w:t xml:space="preserve">As with any eCQM, there is significant work to collate and clean EHR data and ensure their accuracy for measure assessment. To reduce this work, when possible, we used existing value sets—particularly those used by the CDC or NHSN where the measure may be integrated in the future—to streamline use and make the measure more feasible. </w:t>
      </w:r>
      <w:r>
        <w:rPr>
          <w:rFonts w:ascii="Aptos" w:hAnsi="Aptos"/>
          <w:sz w:val="22"/>
          <w:szCs w:val="22"/>
        </w:rPr>
        <w:t>Examples of h</w:t>
      </w:r>
      <w:r w:rsidRPr="009B036F">
        <w:rPr>
          <w:rFonts w:ascii="Aptos" w:hAnsi="Aptos"/>
          <w:sz w:val="22"/>
          <w:szCs w:val="22"/>
        </w:rPr>
        <w:t>armonized value sets include</w:t>
      </w:r>
      <w:r>
        <w:rPr>
          <w:rFonts w:ascii="Aptos" w:hAnsi="Aptos"/>
          <w:sz w:val="22"/>
          <w:szCs w:val="22"/>
        </w:rPr>
        <w:t>:</w:t>
      </w:r>
    </w:p>
    <w:p w14:paraId="465CC6B7" w14:textId="5B0E74E8" w:rsidR="00486111" w:rsidRPr="009B036F" w:rsidRDefault="00486111" w:rsidP="00486111">
      <w:pPr>
        <w:pStyle w:val="BodyText"/>
        <w:numPr>
          <w:ilvl w:val="0"/>
          <w:numId w:val="1"/>
        </w:numPr>
        <w:rPr>
          <w:rFonts w:ascii="Aptos" w:hAnsi="Aptos"/>
          <w:sz w:val="22"/>
          <w:szCs w:val="22"/>
        </w:rPr>
      </w:pPr>
      <w:r w:rsidRPr="009B036F">
        <w:rPr>
          <w:rFonts w:ascii="Aptos" w:hAnsi="Aptos"/>
          <w:sz w:val="22"/>
          <w:szCs w:val="22"/>
        </w:rPr>
        <w:t>CDC’s list of common bacterial commensals</w:t>
      </w:r>
      <w:r w:rsidR="008B5AB8">
        <w:rPr>
          <w:rFonts w:ascii="Aptos" w:hAnsi="Aptos"/>
          <w:sz w:val="22"/>
          <w:szCs w:val="22"/>
        </w:rPr>
        <w:t xml:space="preserve"> [64]</w:t>
      </w:r>
      <w:r>
        <w:rPr>
          <w:rFonts w:ascii="Aptos" w:hAnsi="Aptos"/>
          <w:sz w:val="22"/>
          <w:szCs w:val="22"/>
        </w:rPr>
        <w:t xml:space="preserve"> </w:t>
      </w:r>
      <w:bookmarkStart w:id="21" w:name="_Hlk180581736"/>
      <w:r>
        <w:rPr>
          <w:rFonts w:ascii="Aptos" w:hAnsi="Aptos"/>
          <w:sz w:val="22"/>
          <w:szCs w:val="22"/>
        </w:rPr>
        <w:t>(</w:t>
      </w:r>
      <w:r w:rsidRPr="00F915FC">
        <w:rPr>
          <w:rFonts w:ascii="Aptos" w:hAnsi="Aptos"/>
          <w:sz w:val="22"/>
          <w:szCs w:val="22"/>
        </w:rPr>
        <w:t>OID: 2.16.840.1.114222.24.7.281</w:t>
      </w:r>
      <w:r>
        <w:rPr>
          <w:rFonts w:ascii="Aptos" w:hAnsi="Aptos"/>
          <w:sz w:val="22"/>
          <w:szCs w:val="22"/>
        </w:rPr>
        <w:t>)</w:t>
      </w:r>
    </w:p>
    <w:bookmarkEnd w:id="21"/>
    <w:p w14:paraId="7040301F" w14:textId="77777777" w:rsidR="00486111" w:rsidRPr="009B036F" w:rsidRDefault="00486111" w:rsidP="00486111">
      <w:pPr>
        <w:pStyle w:val="BodyText"/>
        <w:numPr>
          <w:ilvl w:val="0"/>
          <w:numId w:val="1"/>
        </w:numPr>
        <w:rPr>
          <w:rFonts w:ascii="Aptos" w:hAnsi="Aptos"/>
          <w:sz w:val="22"/>
          <w:szCs w:val="22"/>
        </w:rPr>
      </w:pPr>
      <w:r w:rsidRPr="009B036F">
        <w:rPr>
          <w:rFonts w:ascii="Aptos" w:hAnsi="Aptos"/>
          <w:sz w:val="22"/>
          <w:szCs w:val="22"/>
        </w:rPr>
        <w:t>CDC’s definition of Intravenous Medication Route” (OID: 2.16.840.1.113762.1.4.1190.75)</w:t>
      </w:r>
    </w:p>
    <w:p w14:paraId="698306B3" w14:textId="77777777" w:rsidR="00486111" w:rsidRPr="009B036F" w:rsidRDefault="00486111" w:rsidP="00486111">
      <w:pPr>
        <w:pStyle w:val="BodyText"/>
        <w:numPr>
          <w:ilvl w:val="0"/>
          <w:numId w:val="1"/>
        </w:numPr>
        <w:rPr>
          <w:rFonts w:ascii="Aptos" w:hAnsi="Aptos"/>
          <w:sz w:val="22"/>
          <w:szCs w:val="22"/>
        </w:rPr>
      </w:pPr>
      <w:r>
        <w:rPr>
          <w:rFonts w:ascii="Aptos" w:hAnsi="Aptos"/>
          <w:sz w:val="22"/>
          <w:szCs w:val="22"/>
        </w:rPr>
        <w:t>CDC NHSN to define unit (e.g., ICU;</w:t>
      </w:r>
      <w:r w:rsidRPr="00F915FC">
        <w:rPr>
          <w:rFonts w:ascii="Aptos" w:hAnsi="Aptos"/>
          <w:sz w:val="22"/>
          <w:szCs w:val="22"/>
        </w:rPr>
        <w:t xml:space="preserve"> OID: 2.16.840.1.113762.1.4.1029.204</w:t>
      </w:r>
      <w:r>
        <w:rPr>
          <w:rFonts w:ascii="Aptos" w:hAnsi="Aptos"/>
          <w:sz w:val="22"/>
          <w:szCs w:val="22"/>
        </w:rPr>
        <w:t>)</w:t>
      </w:r>
    </w:p>
    <w:bookmarkEnd w:id="20"/>
    <w:p w14:paraId="62A50187" w14:textId="77777777" w:rsidR="00486111" w:rsidRPr="009B036F" w:rsidRDefault="00486111" w:rsidP="00486111">
      <w:pPr>
        <w:pStyle w:val="BodyText"/>
        <w:rPr>
          <w:rFonts w:ascii="Aptos" w:hAnsi="Aptos"/>
          <w:sz w:val="22"/>
          <w:szCs w:val="22"/>
        </w:rPr>
      </w:pPr>
    </w:p>
    <w:p w14:paraId="6F388596" w14:textId="77777777" w:rsidR="00486111" w:rsidRPr="009B036F" w:rsidRDefault="00486111" w:rsidP="00486111">
      <w:pPr>
        <w:pStyle w:val="BodyText"/>
        <w:rPr>
          <w:rFonts w:ascii="Aptos" w:hAnsi="Aptos"/>
          <w:sz w:val="22"/>
          <w:szCs w:val="22"/>
        </w:rPr>
      </w:pPr>
      <w:r w:rsidRPr="009B036F">
        <w:rPr>
          <w:rFonts w:ascii="Aptos" w:hAnsi="Aptos"/>
          <w:sz w:val="22"/>
          <w:szCs w:val="22"/>
        </w:rPr>
        <w:t>Data element feasibility testing:</w:t>
      </w:r>
    </w:p>
    <w:p w14:paraId="6669BAC2" w14:textId="77777777" w:rsidR="00486111" w:rsidRPr="009B036F" w:rsidRDefault="00486111" w:rsidP="00486111">
      <w:pPr>
        <w:pStyle w:val="BodyText"/>
        <w:rPr>
          <w:rFonts w:ascii="Aptos" w:hAnsi="Aptos"/>
          <w:sz w:val="22"/>
          <w:szCs w:val="22"/>
        </w:rPr>
      </w:pPr>
      <w:r w:rsidRPr="009B036F">
        <w:rPr>
          <w:rFonts w:ascii="Aptos" w:hAnsi="Aptos"/>
          <w:sz w:val="22"/>
          <w:szCs w:val="22"/>
        </w:rPr>
        <w:t xml:space="preserve">During measure development, we assessed within three different health systems which data elements (originally present in guidelines or in the original chart-review based measures) were difficult to standardize or collect and what (if any) impact their exclusion vs. inclusion would have on measure validity. </w:t>
      </w:r>
      <w:bookmarkStart w:id="22" w:name="_Hlk179462230"/>
      <w:r w:rsidRPr="009B036F">
        <w:rPr>
          <w:rFonts w:ascii="Aptos" w:hAnsi="Aptos"/>
          <w:sz w:val="22"/>
          <w:szCs w:val="22"/>
        </w:rPr>
        <w:t xml:space="preserve">The results of this process are </w:t>
      </w:r>
      <w:r>
        <w:rPr>
          <w:rFonts w:ascii="Aptos" w:hAnsi="Aptos"/>
          <w:sz w:val="22"/>
          <w:szCs w:val="22"/>
        </w:rPr>
        <w:t xml:space="preserve">found in the “feasibility scorecard” and </w:t>
      </w:r>
      <w:r w:rsidRPr="009B036F">
        <w:rPr>
          <w:rFonts w:ascii="Aptos" w:hAnsi="Aptos"/>
          <w:sz w:val="22"/>
          <w:szCs w:val="22"/>
        </w:rPr>
        <w:t>described below in the “feasibility informed measure” section.</w:t>
      </w:r>
      <w:bookmarkEnd w:id="22"/>
    </w:p>
    <w:p w14:paraId="012E9AA5" w14:textId="77777777" w:rsidR="00486111" w:rsidRDefault="00486111" w:rsidP="00486111">
      <w:pPr>
        <w:pStyle w:val="BodyText"/>
        <w:rPr>
          <w:rFonts w:ascii="Aptos" w:hAnsi="Aptos"/>
          <w:sz w:val="22"/>
          <w:szCs w:val="22"/>
        </w:rPr>
      </w:pPr>
    </w:p>
    <w:p w14:paraId="27D35B7F" w14:textId="719DACEB" w:rsidR="006106EC" w:rsidRPr="00AB487B" w:rsidRDefault="00AB487B" w:rsidP="00486111">
      <w:pPr>
        <w:pStyle w:val="BodyText"/>
        <w:rPr>
          <w:b/>
          <w:bCs/>
          <w:sz w:val="22"/>
          <w:szCs w:val="22"/>
        </w:rPr>
      </w:pPr>
      <w:r w:rsidRPr="00AB487B">
        <w:rPr>
          <w:b/>
          <w:bCs/>
          <w:sz w:val="22"/>
          <w:szCs w:val="22"/>
        </w:rPr>
        <w:t>Feasibility Informed Final Measure</w:t>
      </w:r>
    </w:p>
    <w:bookmarkEnd w:id="19"/>
    <w:p w14:paraId="7910BBC4" w14:textId="77777777" w:rsidR="00A96589" w:rsidRPr="008E209D" w:rsidRDefault="00A96589" w:rsidP="00A96589">
      <w:pPr>
        <w:pStyle w:val="BodyText"/>
        <w:rPr>
          <w:rFonts w:ascii="Aptos" w:hAnsi="Aptos"/>
          <w:sz w:val="22"/>
          <w:szCs w:val="22"/>
        </w:rPr>
      </w:pPr>
      <w:r w:rsidRPr="008E209D">
        <w:rPr>
          <w:rFonts w:ascii="Aptos" w:hAnsi="Aptos"/>
          <w:b/>
          <w:bCs/>
          <w:sz w:val="22"/>
          <w:szCs w:val="22"/>
        </w:rPr>
        <w:t>Data Elements Removed After Feasibility Testing</w:t>
      </w:r>
      <w:r w:rsidRPr="008E209D">
        <w:rPr>
          <w:rFonts w:ascii="Aptos" w:hAnsi="Aptos"/>
          <w:sz w:val="22"/>
          <w:szCs w:val="22"/>
        </w:rPr>
        <w:t>:</w:t>
      </w:r>
    </w:p>
    <w:p w14:paraId="120046D7" w14:textId="77777777" w:rsidR="00A96589" w:rsidRPr="008E209D" w:rsidRDefault="00A96589" w:rsidP="00A96589">
      <w:pPr>
        <w:pStyle w:val="BodyText"/>
        <w:numPr>
          <w:ilvl w:val="0"/>
          <w:numId w:val="2"/>
        </w:numPr>
        <w:rPr>
          <w:rFonts w:ascii="Aptos" w:hAnsi="Aptos"/>
          <w:sz w:val="22"/>
          <w:szCs w:val="22"/>
        </w:rPr>
      </w:pPr>
      <w:r w:rsidRPr="008E209D">
        <w:rPr>
          <w:rFonts w:ascii="Aptos" w:hAnsi="Aptos"/>
          <w:b/>
          <w:bCs/>
          <w:sz w:val="22"/>
          <w:szCs w:val="22"/>
        </w:rPr>
        <w:t>CD4 count</w:t>
      </w:r>
      <w:r w:rsidRPr="008E209D">
        <w:rPr>
          <w:rFonts w:ascii="Aptos" w:hAnsi="Aptos"/>
          <w:sz w:val="22"/>
          <w:szCs w:val="22"/>
        </w:rPr>
        <w:t xml:space="preserve">- </w:t>
      </w:r>
      <w:proofErr w:type="gramStart"/>
      <w:r w:rsidRPr="008E209D">
        <w:rPr>
          <w:rFonts w:ascii="Aptos" w:hAnsi="Aptos"/>
          <w:sz w:val="22"/>
          <w:szCs w:val="22"/>
        </w:rPr>
        <w:t>originally</w:t>
      </w:r>
      <w:proofErr w:type="gramEnd"/>
      <w:r w:rsidRPr="008E209D">
        <w:rPr>
          <w:rFonts w:ascii="Aptos" w:hAnsi="Aptos"/>
          <w:sz w:val="22"/>
          <w:szCs w:val="22"/>
        </w:rPr>
        <w:t xml:space="preserve"> we anticipated excluding patients with acquired immunodeficiency syndrome based on CD4 count plus a diagnosis of HIV. CD4 count was difficult to identify in all three systems as the results </w:t>
      </w:r>
      <w:proofErr w:type="gramStart"/>
      <w:r w:rsidRPr="008E209D">
        <w:rPr>
          <w:rFonts w:ascii="Aptos" w:hAnsi="Aptos"/>
          <w:sz w:val="22"/>
          <w:szCs w:val="22"/>
        </w:rPr>
        <w:t>were located in</w:t>
      </w:r>
      <w:proofErr w:type="gramEnd"/>
      <w:r w:rsidRPr="008E209D">
        <w:rPr>
          <w:rFonts w:ascii="Aptos" w:hAnsi="Aptos"/>
          <w:sz w:val="22"/>
          <w:szCs w:val="22"/>
        </w:rPr>
        <w:t xml:space="preserve"> multiple different laboratory tests and often in unstructured fields. There were no ICD10 codes to distinguish acquired immunodeficiency syndrome from HIV. Because patients with HIV (regardless of CD4 count) were uncommon in all three health systems, we elected to exclude all patients with HIV rather than require assessment of CD4 count. Patients with HIV represent 0.5% of the University of Michigan population, 1.6% of the VA population, and 2.1% of the University of Utah population (prior to applying any additional exclusions). In contrast to CD4 count, HIV can be identified based on ICD-10 diagnostic codes alone, improving feasibility.</w:t>
      </w:r>
    </w:p>
    <w:p w14:paraId="2FAA6AAB" w14:textId="77777777" w:rsidR="00A96589" w:rsidRPr="008E209D" w:rsidRDefault="00A96589" w:rsidP="00A96589">
      <w:pPr>
        <w:pStyle w:val="BodyText"/>
        <w:numPr>
          <w:ilvl w:val="0"/>
          <w:numId w:val="2"/>
        </w:numPr>
        <w:rPr>
          <w:rFonts w:ascii="Aptos" w:hAnsi="Aptos"/>
          <w:sz w:val="22"/>
          <w:szCs w:val="22"/>
        </w:rPr>
      </w:pPr>
      <w:r w:rsidRPr="008E209D">
        <w:rPr>
          <w:rFonts w:ascii="Aptos" w:hAnsi="Aptos"/>
          <w:b/>
          <w:bCs/>
          <w:sz w:val="22"/>
          <w:szCs w:val="22"/>
        </w:rPr>
        <w:t>Monday/Wednesday/Friday antibiotics</w:t>
      </w:r>
      <w:r w:rsidRPr="008E209D">
        <w:rPr>
          <w:rFonts w:ascii="Aptos" w:hAnsi="Aptos"/>
          <w:sz w:val="22"/>
          <w:szCs w:val="22"/>
        </w:rPr>
        <w:t>- originally, as a way of excluding chronic suppressive antibiotics, we sought to exclude patients prescribed Monday/Wednesday/Friday dosing at discharge. The VA CPRS database did not capture this type of dosing in a structured field and thus assessing this would be an undue burden. Testing in the other two systems showed that only 0.5% of patients had this type of dosing and 59% of those patients were excluded for an alternative reason. Thus, this exclusion was dropped.</w:t>
      </w:r>
    </w:p>
    <w:p w14:paraId="37CADD51" w14:textId="77777777" w:rsidR="00A96589" w:rsidRPr="008E209D" w:rsidRDefault="00A96589" w:rsidP="00A96589">
      <w:pPr>
        <w:pStyle w:val="BodyText"/>
        <w:numPr>
          <w:ilvl w:val="0"/>
          <w:numId w:val="2"/>
        </w:numPr>
        <w:rPr>
          <w:rFonts w:ascii="Aptos" w:hAnsi="Aptos"/>
          <w:sz w:val="22"/>
          <w:szCs w:val="22"/>
        </w:rPr>
      </w:pPr>
      <w:r w:rsidRPr="008E209D">
        <w:rPr>
          <w:rFonts w:ascii="Aptos" w:hAnsi="Aptos"/>
          <w:b/>
          <w:bCs/>
          <w:sz w:val="22"/>
          <w:szCs w:val="22"/>
        </w:rPr>
        <w:t>Intravenous antibiotics at discharge</w:t>
      </w:r>
      <w:r w:rsidRPr="008E209D">
        <w:rPr>
          <w:rFonts w:ascii="Aptos" w:hAnsi="Aptos"/>
          <w:sz w:val="22"/>
          <w:szCs w:val="22"/>
        </w:rPr>
        <w:t xml:space="preserve">- originally, as an additional way of excluding complicated pneumonia, we sought to exclude patients prescribed intravenous (IV) antibiotics at discharge. The VA CPRS database did not capture IV antibiotics after discharge in a structured field (they are documented in an “outpatient parenteral antibiotic therapy” note) and thus collecting this exclusion criteria would be an </w:t>
      </w:r>
      <w:r w:rsidRPr="008E209D">
        <w:rPr>
          <w:rFonts w:ascii="Aptos" w:hAnsi="Aptos"/>
          <w:sz w:val="22"/>
          <w:szCs w:val="22"/>
        </w:rPr>
        <w:lastRenderedPageBreak/>
        <w:t>undue burden. University of Michigan showed that only 2.2% of patients had intravenous antibiotics prescribed at discharge of which 71% were excluded for an alternative reason. Given the minimal impact of this exclusion on performance—and feasibility concerns—this exclusion was dropped.</w:t>
      </w:r>
    </w:p>
    <w:p w14:paraId="7C9932EE" w14:textId="77777777" w:rsidR="00A96589" w:rsidRPr="008E209D" w:rsidRDefault="00A96589" w:rsidP="00A96589">
      <w:pPr>
        <w:pStyle w:val="BodyText"/>
        <w:rPr>
          <w:rFonts w:ascii="Aptos" w:hAnsi="Aptos"/>
          <w:sz w:val="22"/>
          <w:szCs w:val="22"/>
        </w:rPr>
      </w:pPr>
      <w:r w:rsidRPr="008E209D">
        <w:rPr>
          <w:rFonts w:ascii="Aptos" w:hAnsi="Aptos"/>
          <w:b/>
          <w:bCs/>
          <w:sz w:val="22"/>
          <w:szCs w:val="22"/>
        </w:rPr>
        <w:t>Data elements simplified</w:t>
      </w:r>
      <w:r w:rsidRPr="008E209D">
        <w:rPr>
          <w:rFonts w:ascii="Aptos" w:hAnsi="Aptos"/>
          <w:sz w:val="22"/>
          <w:szCs w:val="22"/>
        </w:rPr>
        <w:t>:</w:t>
      </w:r>
    </w:p>
    <w:p w14:paraId="1C43D1BE" w14:textId="77777777" w:rsidR="00A96589" w:rsidRPr="008E209D" w:rsidRDefault="00A96589" w:rsidP="00A96589">
      <w:pPr>
        <w:pStyle w:val="BodyText"/>
        <w:numPr>
          <w:ilvl w:val="0"/>
          <w:numId w:val="3"/>
        </w:numPr>
        <w:rPr>
          <w:rFonts w:ascii="Aptos" w:hAnsi="Aptos"/>
          <w:sz w:val="22"/>
          <w:szCs w:val="22"/>
        </w:rPr>
      </w:pPr>
      <w:r w:rsidRPr="008E209D">
        <w:rPr>
          <w:rFonts w:ascii="Aptos" w:hAnsi="Aptos"/>
          <w:b/>
          <w:bCs/>
          <w:sz w:val="22"/>
          <w:szCs w:val="22"/>
        </w:rPr>
        <w:t>Time to clinical stability-</w:t>
      </w:r>
      <w:r w:rsidRPr="008E209D">
        <w:rPr>
          <w:rFonts w:ascii="Aptos" w:hAnsi="Aptos"/>
          <w:sz w:val="22"/>
          <w:szCs w:val="22"/>
        </w:rPr>
        <w:t xml:space="preserve"> 62.5% (5/8) of our TEP strongly agreed and 37.5% (3/8) agreed that patients who did not achieve clinical stability by hospital day 5 should be excluded from our measure. National guidelines and clinical trials</w:t>
      </w:r>
      <w:r>
        <w:rPr>
          <w:rFonts w:ascii="Aptos" w:hAnsi="Aptos"/>
          <w:sz w:val="22"/>
          <w:szCs w:val="22"/>
        </w:rPr>
        <w:t xml:space="preserve"> [11,25]</w:t>
      </w:r>
      <w:r w:rsidRPr="008E209D">
        <w:rPr>
          <w:rFonts w:ascii="Aptos" w:hAnsi="Aptos"/>
          <w:sz w:val="22"/>
          <w:szCs w:val="22"/>
        </w:rPr>
        <w:t xml:space="preserve"> define clinical stability as being afebrile (≤37.8 °C) with no more than one of the following: heart rate </w:t>
      </w:r>
      <w:r w:rsidRPr="008E209D">
        <w:rPr>
          <w:rFonts w:ascii="Aptos" w:hAnsi="Aptos"/>
          <w:sz w:val="22"/>
          <w:szCs w:val="22"/>
          <w:u w:val="single"/>
        </w:rPr>
        <w:t>&gt;</w:t>
      </w:r>
      <w:r w:rsidRPr="008E209D">
        <w:rPr>
          <w:rFonts w:ascii="Aptos" w:hAnsi="Aptos"/>
          <w:sz w:val="22"/>
          <w:szCs w:val="22"/>
        </w:rPr>
        <w:t xml:space="preserve">100 beats per minute, respiratory rate </w:t>
      </w:r>
      <w:r w:rsidRPr="008E209D">
        <w:rPr>
          <w:rFonts w:ascii="Aptos" w:hAnsi="Aptos"/>
          <w:sz w:val="22"/>
          <w:szCs w:val="22"/>
          <w:u w:val="single"/>
        </w:rPr>
        <w:t>&gt;</w:t>
      </w:r>
      <w:r w:rsidRPr="008E209D">
        <w:rPr>
          <w:rFonts w:ascii="Aptos" w:hAnsi="Aptos"/>
          <w:sz w:val="22"/>
          <w:szCs w:val="22"/>
        </w:rPr>
        <w:t>24 breaths per minute, hypoxic (i.e., SpO2 &lt;90% or PaO2 &lt;60 mmHg), and systolic blood pressure &lt;90 mmHg. Our TEP was concerned about the feasibility for assessing this definition, particularly for hospitals with fewer information technology resources (e.g., critical access hospitals)—e.g., "Computationally, calculating clinical stability could be resource intensive for EHR vendors/data intermediaries, due to the large volume of vitals data and complex logic to connect values”.</w:t>
      </w:r>
    </w:p>
    <w:p w14:paraId="70D23479" w14:textId="77777777" w:rsidR="00A96589" w:rsidRPr="008E209D" w:rsidRDefault="00A96589" w:rsidP="00A96589">
      <w:pPr>
        <w:pStyle w:val="BodyText"/>
        <w:rPr>
          <w:rFonts w:ascii="Aptos" w:hAnsi="Aptos"/>
          <w:b/>
          <w:bCs/>
          <w:sz w:val="22"/>
          <w:szCs w:val="22"/>
        </w:rPr>
      </w:pPr>
    </w:p>
    <w:p w14:paraId="4B33E69D" w14:textId="54A7CEEF" w:rsidR="00A96589" w:rsidRPr="008E209D" w:rsidRDefault="00A96589" w:rsidP="00A96589">
      <w:pPr>
        <w:pStyle w:val="BodyText"/>
        <w:rPr>
          <w:rFonts w:ascii="Aptos" w:hAnsi="Aptos"/>
          <w:sz w:val="22"/>
          <w:szCs w:val="22"/>
        </w:rPr>
      </w:pPr>
      <w:r w:rsidRPr="008E209D">
        <w:rPr>
          <w:rFonts w:ascii="Aptos" w:hAnsi="Aptos"/>
          <w:sz w:val="22"/>
          <w:szCs w:val="22"/>
        </w:rPr>
        <w:t>As this exclusion criterion applied to &gt;10% of patients at the University of Michigan, we could not drop the criterion altogether. Literature review demonstrated that the guideline-based stability criteria were designed originally not to determine duration but to determine suitability for discharge and that “altered mental status” was only originally meant to be applied for suitability for discharge, not clinical stability.</w:t>
      </w:r>
      <w:r w:rsidR="008B5AB8">
        <w:rPr>
          <w:rFonts w:ascii="Aptos" w:hAnsi="Aptos"/>
          <w:sz w:val="22"/>
          <w:szCs w:val="22"/>
        </w:rPr>
        <w:t xml:space="preserve"> </w:t>
      </w:r>
      <w:proofErr w:type="gramStart"/>
      <w:r>
        <w:rPr>
          <w:rFonts w:ascii="Aptos" w:hAnsi="Aptos"/>
          <w:sz w:val="22"/>
          <w:szCs w:val="22"/>
        </w:rPr>
        <w:t>[65-67]</w:t>
      </w:r>
      <w:r w:rsidRPr="008E209D">
        <w:rPr>
          <w:rFonts w:ascii="Aptos" w:hAnsi="Aptos"/>
          <w:sz w:val="22"/>
          <w:szCs w:val="22"/>
        </w:rPr>
        <w:t xml:space="preserve"> Thus</w:t>
      </w:r>
      <w:proofErr w:type="gramEnd"/>
      <w:r w:rsidRPr="008E209D">
        <w:rPr>
          <w:rFonts w:ascii="Aptos" w:hAnsi="Aptos"/>
          <w:sz w:val="22"/>
          <w:szCs w:val="22"/>
        </w:rPr>
        <w:t xml:space="preserve">, we </w:t>
      </w:r>
      <w:proofErr w:type="gramStart"/>
      <w:r w:rsidRPr="008E209D">
        <w:rPr>
          <w:rFonts w:ascii="Aptos" w:hAnsi="Aptos"/>
          <w:sz w:val="22"/>
          <w:szCs w:val="22"/>
        </w:rPr>
        <w:t>dropped altered</w:t>
      </w:r>
      <w:proofErr w:type="gramEnd"/>
      <w:r w:rsidRPr="008E209D">
        <w:rPr>
          <w:rFonts w:ascii="Aptos" w:hAnsi="Aptos"/>
          <w:sz w:val="22"/>
          <w:szCs w:val="22"/>
        </w:rPr>
        <w:t xml:space="preserve"> mental status as a stability criterion. This did not impact measure exclusions as &lt;1% of patients had altered mental status with no other signs of clinical stability beyond day 5 of hospitalization. Our TEP panel agreed with this change with one member reporting “that seems to simply the complexity and still produce the end result.”</w:t>
      </w:r>
    </w:p>
    <w:p w14:paraId="2122FB2A" w14:textId="77777777" w:rsidR="00A96589" w:rsidRPr="008E209D" w:rsidRDefault="00A96589" w:rsidP="00A96589">
      <w:pPr>
        <w:pStyle w:val="BodyText"/>
        <w:rPr>
          <w:rFonts w:ascii="Aptos" w:hAnsi="Aptos"/>
          <w:sz w:val="22"/>
          <w:szCs w:val="22"/>
        </w:rPr>
      </w:pPr>
    </w:p>
    <w:p w14:paraId="560A43D6" w14:textId="77777777" w:rsidR="00A96589" w:rsidRPr="008E209D" w:rsidRDefault="00A96589" w:rsidP="00A96589">
      <w:pPr>
        <w:pStyle w:val="BodyText"/>
        <w:rPr>
          <w:rFonts w:ascii="Aptos" w:hAnsi="Aptos"/>
          <w:sz w:val="22"/>
          <w:szCs w:val="22"/>
        </w:rPr>
      </w:pPr>
      <w:r w:rsidRPr="008E209D">
        <w:rPr>
          <w:rFonts w:ascii="Aptos" w:hAnsi="Aptos"/>
          <w:sz w:val="22"/>
          <w:szCs w:val="22"/>
        </w:rPr>
        <w:t>Next, we tested a simpler definition that defined clinical stability as afebrile (max temperature for the calendar day ≤37.8 °C) and normotensive (lowest systolic blood pressure for the calendar day ≥90 mmHg). We also considered a patient to be clinically stable on the day of discharge (this was derived from the original chart review version of the measure used in Michigan hospitals and suggested by a TEP member—"Include discharge &lt;5 days as an exclusion/proxy for clinical stability”).</w:t>
      </w:r>
      <w:r>
        <w:rPr>
          <w:rFonts w:ascii="Aptos" w:hAnsi="Aptos"/>
          <w:sz w:val="22"/>
          <w:szCs w:val="22"/>
        </w:rPr>
        <w:t>[24]</w:t>
      </w:r>
      <w:r w:rsidRPr="008E209D">
        <w:rPr>
          <w:rFonts w:ascii="Aptos" w:hAnsi="Aptos"/>
          <w:sz w:val="22"/>
          <w:szCs w:val="22"/>
        </w:rPr>
        <w:t xml:space="preserve"> This modified definition was feasible for all three sites where we tested the measure and was highly specific (98% specificity). </w:t>
      </w:r>
    </w:p>
    <w:p w14:paraId="62D950D1" w14:textId="77777777" w:rsidR="00A96589" w:rsidRPr="008E209D" w:rsidRDefault="00A96589" w:rsidP="00A96589">
      <w:pPr>
        <w:pStyle w:val="BodyText"/>
        <w:rPr>
          <w:rFonts w:ascii="Aptos" w:hAnsi="Aptos"/>
          <w:sz w:val="22"/>
          <w:szCs w:val="22"/>
        </w:rPr>
      </w:pPr>
    </w:p>
    <w:p w14:paraId="45FE473B" w14:textId="77777777" w:rsidR="00A96589" w:rsidRPr="008E209D" w:rsidRDefault="00A96589" w:rsidP="00A96589">
      <w:pPr>
        <w:spacing w:line="240" w:lineRule="auto"/>
        <w:rPr>
          <w:rFonts w:ascii="Aptos" w:eastAsia="Aptos" w:hAnsi="Aptos" w:cs="Aptos"/>
          <w:kern w:val="0"/>
          <w:sz w:val="22"/>
          <w:szCs w:val="22"/>
        </w:rPr>
      </w:pPr>
      <w:r w:rsidRPr="008E209D">
        <w:rPr>
          <w:rFonts w:ascii="Aptos" w:eastAsia="Aptos" w:hAnsi="Aptos" w:cs="Aptos"/>
          <w:kern w:val="0"/>
          <w:sz w:val="22"/>
          <w:szCs w:val="22"/>
        </w:rPr>
        <w:t xml:space="preserve">The modified version of clinical stability (i.e., afebrile and normotensive) did not identify all patients who (based on chart review) were unstable beyond day 5 (sensitivity 29%). To assess whether the low sensitivity would impact the measures’ validity, we assessed how the two definitions would impact the University of Michigan’s measure performance. Using the original, expanded vital sign criteria would result in more patients being excluded and 53.7% (1734/3227) of patients being quantified as having excess duration. Using the modified (and easier) definition would result in 54.5% (1861/3417) of patients being classified as having an excess duration. Given that the two definitions produced comparable results and did not change </w:t>
      </w:r>
      <w:proofErr w:type="gramStart"/>
      <w:r w:rsidRPr="008E209D">
        <w:rPr>
          <w:rFonts w:ascii="Aptos" w:eastAsia="Aptos" w:hAnsi="Aptos" w:cs="Aptos"/>
          <w:kern w:val="0"/>
          <w:sz w:val="22"/>
          <w:szCs w:val="22"/>
        </w:rPr>
        <w:t>University</w:t>
      </w:r>
      <w:proofErr w:type="gramEnd"/>
      <w:r w:rsidRPr="008E209D">
        <w:rPr>
          <w:rFonts w:ascii="Aptos" w:eastAsia="Aptos" w:hAnsi="Aptos" w:cs="Aptos"/>
          <w:kern w:val="0"/>
          <w:sz w:val="22"/>
          <w:szCs w:val="22"/>
        </w:rPr>
        <w:t xml:space="preserve"> of Michigan’s decile of performance, we suggest (and report here) the more feasible, modified stability criteria.</w:t>
      </w:r>
    </w:p>
    <w:p w14:paraId="3DFD7574" w14:textId="77777777" w:rsidR="00A96589" w:rsidRDefault="00A96589">
      <w:pPr>
        <w:rPr>
          <w:b/>
          <w:bCs/>
          <w:sz w:val="22"/>
          <w:szCs w:val="22"/>
        </w:rPr>
      </w:pPr>
    </w:p>
    <w:p w14:paraId="3F8FAD2C" w14:textId="77777777" w:rsidR="00A96589" w:rsidRPr="008E209D" w:rsidRDefault="00A96589" w:rsidP="00A96589">
      <w:pPr>
        <w:rPr>
          <w:rFonts w:ascii="Aptos" w:hAnsi="Aptos" w:cs="Arial"/>
          <w:sz w:val="22"/>
          <w:szCs w:val="22"/>
        </w:rPr>
      </w:pPr>
      <w:r w:rsidRPr="008E209D">
        <w:rPr>
          <w:rFonts w:ascii="Aptos" w:hAnsi="Aptos" w:cs="Arial"/>
          <w:sz w:val="22"/>
          <w:szCs w:val="22"/>
        </w:rPr>
        <w:t>After presenting the measure to the TEP, we asked whether the “</w:t>
      </w:r>
      <w:r w:rsidRPr="008E209D">
        <w:rPr>
          <w:rFonts w:ascii="Aptos" w:hAnsi="Aptos" w:cs="Arial"/>
          <w:i/>
          <w:iCs/>
          <w:sz w:val="22"/>
          <w:szCs w:val="22"/>
        </w:rPr>
        <w:t>measure appropriately balances the need for accuracy with complexity</w:t>
      </w:r>
      <w:r w:rsidRPr="008E209D">
        <w:rPr>
          <w:rFonts w:ascii="Aptos" w:hAnsi="Aptos" w:cs="Arial"/>
          <w:sz w:val="22"/>
          <w:szCs w:val="22"/>
        </w:rPr>
        <w:t>”? 75% (6/8) responded it was the “perfect balance” with 1 reporting it was too complex and 1 reporting it was somewhat too simple. The TEP member reporting it was too complex suggested, “mov[</w:t>
      </w:r>
      <w:proofErr w:type="spellStart"/>
      <w:r w:rsidRPr="008E209D">
        <w:rPr>
          <w:rFonts w:ascii="Aptos" w:hAnsi="Aptos" w:cs="Arial"/>
          <w:sz w:val="22"/>
          <w:szCs w:val="22"/>
        </w:rPr>
        <w:t>ing</w:t>
      </w:r>
      <w:proofErr w:type="spellEnd"/>
      <w:r w:rsidRPr="008E209D">
        <w:rPr>
          <w:rFonts w:ascii="Aptos" w:hAnsi="Aptos" w:cs="Arial"/>
          <w:sz w:val="22"/>
          <w:szCs w:val="22"/>
        </w:rPr>
        <w:t xml:space="preserve">] the "clinical stability" definition to denominator exceptions.” In the final measure, time to clinical stability (&gt;5 days) is a denominator exclusion. The TEP member stating that the measure was too simple was concerned about potential overtreatment of viral pneumonia, stating, “I think the measure should be as expressed, but wonder if a clarifying statement that a course of antibiotics that is 5 days may be excessive in viral pneumonia and a shorter than 5 days may be appropriate, particularly in cases of viral pneumonia (positive viral test and/or PCT &lt;0.25). e.g. something to avoid the message that treatment duration MUST be 5 days.” </w:t>
      </w:r>
    </w:p>
    <w:p w14:paraId="6928D26D" w14:textId="4FE27709" w:rsidR="003A38EE" w:rsidRDefault="003A38EE">
      <w:pPr>
        <w:rPr>
          <w:rFonts w:ascii="Arial" w:eastAsia="Arial" w:hAnsi="Arial" w:cs="Arial"/>
          <w:b/>
          <w:bCs/>
          <w:kern w:val="0"/>
          <w:sz w:val="22"/>
          <w:szCs w:val="22"/>
          <w14:ligatures w14:val="none"/>
        </w:rPr>
      </w:pPr>
      <w:r>
        <w:rPr>
          <w:b/>
          <w:bCs/>
          <w:sz w:val="22"/>
          <w:szCs w:val="22"/>
        </w:rPr>
        <w:br w:type="page"/>
      </w:r>
    </w:p>
    <w:p w14:paraId="3EA09C39" w14:textId="77777777" w:rsidR="00A96589" w:rsidRDefault="00183E41" w:rsidP="00183E41">
      <w:pPr>
        <w:rPr>
          <w:rFonts w:ascii="Arial" w:hAnsi="Arial" w:cs="Arial"/>
          <w:b/>
          <w:bCs/>
        </w:rPr>
      </w:pPr>
      <w:r w:rsidRPr="00423C5B">
        <w:rPr>
          <w:rFonts w:ascii="Arial" w:hAnsi="Arial" w:cs="Arial"/>
          <w:b/>
          <w:bCs/>
        </w:rPr>
        <w:lastRenderedPageBreak/>
        <w:t>Characteristics of Measured Entities</w:t>
      </w:r>
    </w:p>
    <w:p w14:paraId="3F621AEC" w14:textId="77777777" w:rsidR="00A96589" w:rsidRDefault="00A96589" w:rsidP="00183E41">
      <w:pPr>
        <w:rPr>
          <w:rFonts w:ascii="Arial" w:hAnsi="Arial" w:cs="Arial"/>
          <w:b/>
          <w:bCs/>
        </w:rPr>
      </w:pPr>
    </w:p>
    <w:p w14:paraId="5D7E8502" w14:textId="52AC8478" w:rsidR="00183E41" w:rsidRDefault="00183E41" w:rsidP="00183E41">
      <w:pPr>
        <w:rPr>
          <w:rFonts w:ascii="Arial" w:hAnsi="Arial" w:cs="Arial"/>
          <w:sz w:val="22"/>
          <w:szCs w:val="22"/>
        </w:rPr>
      </w:pPr>
      <w:r w:rsidRPr="00423C5B">
        <w:rPr>
          <w:rFonts w:ascii="Arial" w:hAnsi="Arial" w:cs="Arial"/>
          <w:b/>
          <w:bCs/>
          <w:sz w:val="22"/>
          <w:szCs w:val="22"/>
        </w:rPr>
        <w:t xml:space="preserve">Table </w:t>
      </w:r>
      <w:r w:rsidR="00D271BC">
        <w:rPr>
          <w:rFonts w:ascii="Arial" w:hAnsi="Arial" w:cs="Arial"/>
          <w:b/>
          <w:bCs/>
          <w:sz w:val="22"/>
          <w:szCs w:val="22"/>
        </w:rPr>
        <w:t>14</w:t>
      </w:r>
      <w:r w:rsidR="00A96589">
        <w:rPr>
          <w:rFonts w:ascii="Arial" w:hAnsi="Arial" w:cs="Arial"/>
          <w:b/>
          <w:bCs/>
          <w:sz w:val="22"/>
          <w:szCs w:val="22"/>
        </w:rPr>
        <w:t>.</w:t>
      </w:r>
      <w:r w:rsidRPr="00423C5B">
        <w:rPr>
          <w:rFonts w:ascii="Arial" w:hAnsi="Arial" w:cs="Arial"/>
          <w:sz w:val="22"/>
          <w:szCs w:val="22"/>
        </w:rPr>
        <w:t xml:space="preserve"> Characteristics of Measured Entities</w:t>
      </w:r>
    </w:p>
    <w:p w14:paraId="4D632726" w14:textId="77777777" w:rsidR="00D271BC" w:rsidRPr="00423C5B" w:rsidRDefault="00D271BC" w:rsidP="00183E41">
      <w:pPr>
        <w:rPr>
          <w:rFonts w:ascii="Arial" w:hAnsi="Arial" w:cs="Arial"/>
          <w:sz w:val="22"/>
          <w:szCs w:val="22"/>
        </w:rPr>
      </w:pPr>
    </w:p>
    <w:tbl>
      <w:tblPr>
        <w:tblStyle w:val="TableGrid"/>
        <w:tblW w:w="9990" w:type="dxa"/>
        <w:jc w:val="center"/>
        <w:tblLook w:val="04A0" w:firstRow="1" w:lastRow="0" w:firstColumn="1" w:lastColumn="0" w:noHBand="0" w:noVBand="1"/>
        <w:tblCaption w:val="Table 8. Characteristics of health systems the proposed eCQM was tested in."/>
        <w:tblDescription w:val="Comparison of UU, VA, and UM health systems. UU and UM are academic hospitals and VA has 103 facilities included in the reliability and validity testing. Both UU and UM are urban, with more than 200 beds, and an annual patient census of 29,450 (UU) and 49,730 (UM). VA facilities tend to be in urban areas as well but 18% of facilities were rural and the VA distribution of facility bed sizes tends toward smaller facilities than UU and UM (23% were 50 beds or fewer; 37% were 51-100 beds, and another 37% were 101-200 beds). Annual patient census for all 103 VA facilities together is 485,570 patients."/>
      </w:tblPr>
      <w:tblGrid>
        <w:gridCol w:w="2146"/>
        <w:gridCol w:w="2614"/>
        <w:gridCol w:w="2615"/>
        <w:gridCol w:w="2615"/>
      </w:tblGrid>
      <w:tr w:rsidR="00183E41" w:rsidRPr="007B6C8E" w14:paraId="23D34150" w14:textId="77777777" w:rsidTr="00E75BA0">
        <w:trPr>
          <w:cantSplit/>
          <w:tblHeader/>
          <w:jc w:val="center"/>
        </w:trPr>
        <w:tc>
          <w:tcPr>
            <w:tcW w:w="2146" w:type="dxa"/>
          </w:tcPr>
          <w:p w14:paraId="59C178C3" w14:textId="77777777" w:rsidR="00183E41" w:rsidRPr="007B6C8E" w:rsidRDefault="00183E41" w:rsidP="00E75BA0">
            <w:pPr>
              <w:pStyle w:val="BodyText"/>
              <w:rPr>
                <w:b/>
                <w:bCs/>
              </w:rPr>
            </w:pPr>
            <w:r w:rsidRPr="007B6C8E">
              <w:rPr>
                <w:b/>
                <w:bCs/>
              </w:rPr>
              <w:t>Hospital Characteristic</w:t>
            </w:r>
          </w:p>
        </w:tc>
        <w:tc>
          <w:tcPr>
            <w:tcW w:w="2614" w:type="dxa"/>
          </w:tcPr>
          <w:p w14:paraId="6E42C547" w14:textId="77777777" w:rsidR="00183E41" w:rsidRPr="007B6C8E" w:rsidRDefault="00183E41" w:rsidP="00E75BA0">
            <w:pPr>
              <w:pStyle w:val="BodyText"/>
              <w:jc w:val="center"/>
              <w:rPr>
                <w:b/>
                <w:bCs/>
              </w:rPr>
            </w:pPr>
            <w:r w:rsidRPr="007B6C8E">
              <w:rPr>
                <w:b/>
                <w:bCs/>
              </w:rPr>
              <w:t>University of Utah</w:t>
            </w:r>
          </w:p>
          <w:p w14:paraId="129718FA" w14:textId="77777777" w:rsidR="00183E41" w:rsidRPr="007B6C8E" w:rsidRDefault="00183E41" w:rsidP="00E75BA0">
            <w:pPr>
              <w:pStyle w:val="BodyText"/>
              <w:jc w:val="center"/>
              <w:rPr>
                <w:b/>
                <w:bCs/>
              </w:rPr>
            </w:pPr>
            <w:r w:rsidRPr="007B6C8E">
              <w:rPr>
                <w:b/>
                <w:bCs/>
              </w:rPr>
              <w:t>N=1 hospital</w:t>
            </w:r>
          </w:p>
        </w:tc>
        <w:tc>
          <w:tcPr>
            <w:tcW w:w="2615" w:type="dxa"/>
          </w:tcPr>
          <w:p w14:paraId="49A5DCC0" w14:textId="77777777" w:rsidR="00183E41" w:rsidRPr="007B6C8E" w:rsidRDefault="00183E41" w:rsidP="00E75BA0">
            <w:pPr>
              <w:pStyle w:val="BodyText"/>
              <w:jc w:val="center"/>
              <w:rPr>
                <w:b/>
                <w:bCs/>
              </w:rPr>
            </w:pPr>
            <w:r w:rsidRPr="007B6C8E">
              <w:rPr>
                <w:b/>
                <w:bCs/>
              </w:rPr>
              <w:t xml:space="preserve">VA Health </w:t>
            </w:r>
            <w:r>
              <w:rPr>
                <w:b/>
                <w:bCs/>
              </w:rPr>
              <w:t xml:space="preserve">Care </w:t>
            </w:r>
            <w:r w:rsidRPr="007B6C8E">
              <w:rPr>
                <w:b/>
                <w:bCs/>
              </w:rPr>
              <w:t>System</w:t>
            </w:r>
          </w:p>
          <w:p w14:paraId="7B1298D9" w14:textId="77777777" w:rsidR="00183E41" w:rsidRPr="007B6C8E" w:rsidRDefault="00183E41" w:rsidP="00E75BA0">
            <w:pPr>
              <w:pStyle w:val="BodyText"/>
              <w:jc w:val="center"/>
              <w:rPr>
                <w:b/>
                <w:bCs/>
              </w:rPr>
            </w:pPr>
            <w:r w:rsidRPr="007B6C8E">
              <w:rPr>
                <w:b/>
                <w:bCs/>
              </w:rPr>
              <w:t xml:space="preserve">N=109 hospitals </w:t>
            </w:r>
          </w:p>
        </w:tc>
        <w:tc>
          <w:tcPr>
            <w:tcW w:w="2615" w:type="dxa"/>
          </w:tcPr>
          <w:p w14:paraId="137EBAA4" w14:textId="77777777" w:rsidR="00183E41" w:rsidRPr="007B6C8E" w:rsidRDefault="00183E41" w:rsidP="00E75BA0">
            <w:pPr>
              <w:pStyle w:val="BodyText"/>
              <w:jc w:val="center"/>
              <w:rPr>
                <w:b/>
                <w:bCs/>
              </w:rPr>
            </w:pPr>
            <w:r w:rsidRPr="007B6C8E">
              <w:rPr>
                <w:b/>
                <w:bCs/>
              </w:rPr>
              <w:t>University of Michigan</w:t>
            </w:r>
          </w:p>
          <w:p w14:paraId="7FCAD827" w14:textId="77777777" w:rsidR="00183E41" w:rsidRPr="007B6C8E" w:rsidRDefault="00183E41" w:rsidP="00E75BA0">
            <w:pPr>
              <w:pStyle w:val="BodyText"/>
              <w:jc w:val="center"/>
              <w:rPr>
                <w:b/>
                <w:bCs/>
              </w:rPr>
            </w:pPr>
            <w:r w:rsidRPr="007B6C8E">
              <w:rPr>
                <w:b/>
                <w:bCs/>
              </w:rPr>
              <w:t xml:space="preserve">N=1 hospital </w:t>
            </w:r>
          </w:p>
        </w:tc>
      </w:tr>
      <w:tr w:rsidR="00183E41" w:rsidRPr="007B6C8E" w14:paraId="08191B48" w14:textId="77777777" w:rsidTr="00E75BA0">
        <w:trPr>
          <w:cantSplit/>
          <w:jc w:val="center"/>
        </w:trPr>
        <w:tc>
          <w:tcPr>
            <w:tcW w:w="2146" w:type="dxa"/>
          </w:tcPr>
          <w:p w14:paraId="7A7D5853" w14:textId="77777777" w:rsidR="00183E41" w:rsidRPr="007B6C8E" w:rsidRDefault="00183E41" w:rsidP="00E75BA0">
            <w:pPr>
              <w:pStyle w:val="BodyText"/>
            </w:pPr>
            <w:r w:rsidRPr="007B6C8E">
              <w:t>Data time frame</w:t>
            </w:r>
          </w:p>
        </w:tc>
        <w:tc>
          <w:tcPr>
            <w:tcW w:w="2614" w:type="dxa"/>
          </w:tcPr>
          <w:p w14:paraId="35B2662F" w14:textId="77777777" w:rsidR="00183E41" w:rsidRPr="007B6C8E" w:rsidRDefault="00183E41" w:rsidP="00E75BA0">
            <w:pPr>
              <w:pStyle w:val="BodyText"/>
              <w:jc w:val="center"/>
            </w:pPr>
            <w:r w:rsidRPr="007B6C8E">
              <w:t>1/1/2021 to 5/30/2022</w:t>
            </w:r>
          </w:p>
        </w:tc>
        <w:tc>
          <w:tcPr>
            <w:tcW w:w="2615" w:type="dxa"/>
          </w:tcPr>
          <w:p w14:paraId="1806E0A2" w14:textId="77777777" w:rsidR="00183E41" w:rsidRPr="007B6C8E" w:rsidRDefault="00183E41" w:rsidP="00E75BA0">
            <w:pPr>
              <w:pStyle w:val="BodyText"/>
              <w:jc w:val="center"/>
            </w:pPr>
            <w:r w:rsidRPr="007B6C8E">
              <w:t>1/1/2022 to 6/30/2024</w:t>
            </w:r>
          </w:p>
        </w:tc>
        <w:tc>
          <w:tcPr>
            <w:tcW w:w="2615" w:type="dxa"/>
          </w:tcPr>
          <w:p w14:paraId="5AE46C3C" w14:textId="77777777" w:rsidR="00183E41" w:rsidRPr="007B6C8E" w:rsidRDefault="00183E41" w:rsidP="00E75BA0">
            <w:pPr>
              <w:pStyle w:val="BodyText"/>
              <w:jc w:val="center"/>
            </w:pPr>
            <w:r w:rsidRPr="007B6C8E">
              <w:t>9/29/2015 to 12/11/2021</w:t>
            </w:r>
          </w:p>
        </w:tc>
      </w:tr>
      <w:tr w:rsidR="00183E41" w:rsidRPr="007B6C8E" w14:paraId="5B8D3F1B" w14:textId="77777777" w:rsidTr="00E75BA0">
        <w:trPr>
          <w:cantSplit/>
          <w:jc w:val="center"/>
        </w:trPr>
        <w:tc>
          <w:tcPr>
            <w:tcW w:w="2146" w:type="dxa"/>
          </w:tcPr>
          <w:p w14:paraId="463858B2" w14:textId="77777777" w:rsidR="00183E41" w:rsidRPr="007B6C8E" w:rsidRDefault="00183E41" w:rsidP="00E75BA0">
            <w:pPr>
              <w:pStyle w:val="BodyText"/>
            </w:pPr>
            <w:r w:rsidRPr="007B6C8E">
              <w:t xml:space="preserve">Academic Hospital  </w:t>
            </w:r>
          </w:p>
        </w:tc>
        <w:tc>
          <w:tcPr>
            <w:tcW w:w="2614" w:type="dxa"/>
          </w:tcPr>
          <w:p w14:paraId="7AAF7FB3" w14:textId="77777777" w:rsidR="00183E41" w:rsidRPr="007B6C8E" w:rsidRDefault="00183E41" w:rsidP="00E75BA0">
            <w:pPr>
              <w:pStyle w:val="BodyText"/>
              <w:jc w:val="center"/>
            </w:pPr>
            <w:r w:rsidRPr="007B6C8E">
              <w:t>1 (100%)</w:t>
            </w:r>
          </w:p>
        </w:tc>
        <w:tc>
          <w:tcPr>
            <w:tcW w:w="2615" w:type="dxa"/>
          </w:tcPr>
          <w:p w14:paraId="39C2EA77" w14:textId="77777777" w:rsidR="00183E41" w:rsidRPr="007B6C8E" w:rsidRDefault="00183E41" w:rsidP="00E75BA0">
            <w:pPr>
              <w:pStyle w:val="BodyText"/>
              <w:jc w:val="center"/>
            </w:pPr>
            <w:r w:rsidRPr="007B6C8E">
              <w:t>n/a</w:t>
            </w:r>
          </w:p>
        </w:tc>
        <w:tc>
          <w:tcPr>
            <w:tcW w:w="2615" w:type="dxa"/>
          </w:tcPr>
          <w:p w14:paraId="05A9BB90" w14:textId="77777777" w:rsidR="00183E41" w:rsidRPr="007B6C8E" w:rsidRDefault="00183E41" w:rsidP="00E75BA0">
            <w:pPr>
              <w:pStyle w:val="BodyText"/>
              <w:jc w:val="center"/>
            </w:pPr>
            <w:r w:rsidRPr="007B6C8E">
              <w:t>1 (100%)</w:t>
            </w:r>
          </w:p>
        </w:tc>
      </w:tr>
      <w:tr w:rsidR="00183E41" w:rsidRPr="007B6C8E" w14:paraId="3725DABA" w14:textId="77777777" w:rsidTr="00E75BA0">
        <w:trPr>
          <w:cantSplit/>
          <w:jc w:val="center"/>
        </w:trPr>
        <w:tc>
          <w:tcPr>
            <w:tcW w:w="2146" w:type="dxa"/>
          </w:tcPr>
          <w:p w14:paraId="54BAC6B3" w14:textId="77777777" w:rsidR="00183E41" w:rsidRPr="007B6C8E" w:rsidRDefault="00183E41" w:rsidP="00E75BA0">
            <w:pPr>
              <w:pStyle w:val="BodyText"/>
            </w:pPr>
            <w:r w:rsidRPr="007B6C8E">
              <w:t>Location</w:t>
            </w:r>
          </w:p>
          <w:p w14:paraId="1C659D57" w14:textId="77777777" w:rsidR="00183E41" w:rsidRPr="007B6C8E" w:rsidRDefault="00183E41" w:rsidP="00E75BA0">
            <w:pPr>
              <w:pStyle w:val="BodyText"/>
            </w:pPr>
            <w:r w:rsidRPr="007B6C8E">
              <w:t xml:space="preserve">   Urban</w:t>
            </w:r>
          </w:p>
          <w:p w14:paraId="0151E40F" w14:textId="77777777" w:rsidR="00183E41" w:rsidRPr="007B6C8E" w:rsidRDefault="00183E41" w:rsidP="00E75BA0">
            <w:pPr>
              <w:pStyle w:val="BodyText"/>
            </w:pPr>
            <w:r w:rsidRPr="007B6C8E">
              <w:t xml:space="preserve">   Rural</w:t>
            </w:r>
          </w:p>
        </w:tc>
        <w:tc>
          <w:tcPr>
            <w:tcW w:w="2614" w:type="dxa"/>
          </w:tcPr>
          <w:p w14:paraId="3DA6B192" w14:textId="77777777" w:rsidR="00183E41" w:rsidRPr="007B6C8E" w:rsidRDefault="00183E41" w:rsidP="00E75BA0">
            <w:pPr>
              <w:pStyle w:val="BodyText"/>
              <w:jc w:val="center"/>
            </w:pPr>
          </w:p>
          <w:p w14:paraId="3EF708A1" w14:textId="77777777" w:rsidR="00183E41" w:rsidRPr="007B6C8E" w:rsidRDefault="00183E41" w:rsidP="00E75BA0">
            <w:pPr>
              <w:pStyle w:val="BodyText"/>
              <w:jc w:val="center"/>
            </w:pPr>
            <w:r w:rsidRPr="007B6C8E">
              <w:t>1 (100%)</w:t>
            </w:r>
          </w:p>
          <w:p w14:paraId="2612DE95" w14:textId="77777777" w:rsidR="00183E41" w:rsidRPr="007B6C8E" w:rsidRDefault="00183E41" w:rsidP="00E75BA0">
            <w:pPr>
              <w:pStyle w:val="BodyText"/>
              <w:jc w:val="center"/>
            </w:pPr>
            <w:r w:rsidRPr="007B6C8E">
              <w:t>0 (0%)</w:t>
            </w:r>
          </w:p>
        </w:tc>
        <w:tc>
          <w:tcPr>
            <w:tcW w:w="2615" w:type="dxa"/>
          </w:tcPr>
          <w:p w14:paraId="3CF1C8A7" w14:textId="77777777" w:rsidR="00183E41" w:rsidRPr="007B6C8E" w:rsidRDefault="00183E41" w:rsidP="00E75BA0">
            <w:pPr>
              <w:pStyle w:val="BodyText"/>
              <w:jc w:val="center"/>
            </w:pPr>
          </w:p>
          <w:p w14:paraId="22AB964C" w14:textId="77777777" w:rsidR="00183E41" w:rsidRPr="007B6C8E" w:rsidRDefault="00183E41" w:rsidP="00E75BA0">
            <w:pPr>
              <w:pStyle w:val="BodyText"/>
              <w:jc w:val="center"/>
            </w:pPr>
            <w:r w:rsidRPr="007B6C8E">
              <w:t>Healthcare systems span urban and rural areas</w:t>
            </w:r>
          </w:p>
        </w:tc>
        <w:tc>
          <w:tcPr>
            <w:tcW w:w="2615" w:type="dxa"/>
          </w:tcPr>
          <w:p w14:paraId="2BB19D1B" w14:textId="77777777" w:rsidR="00183E41" w:rsidRPr="007B6C8E" w:rsidRDefault="00183E41" w:rsidP="00E75BA0">
            <w:pPr>
              <w:pStyle w:val="BodyText"/>
              <w:jc w:val="center"/>
            </w:pPr>
          </w:p>
          <w:p w14:paraId="57E4D0D3" w14:textId="77777777" w:rsidR="00183E41" w:rsidRPr="007B6C8E" w:rsidRDefault="00183E41" w:rsidP="00E75BA0">
            <w:pPr>
              <w:pStyle w:val="BodyText"/>
              <w:jc w:val="center"/>
            </w:pPr>
            <w:r w:rsidRPr="007B6C8E">
              <w:t>1 (100%)</w:t>
            </w:r>
          </w:p>
          <w:p w14:paraId="002C1B74" w14:textId="77777777" w:rsidR="00183E41" w:rsidRPr="007B6C8E" w:rsidRDefault="00183E41" w:rsidP="00E75BA0">
            <w:pPr>
              <w:pStyle w:val="BodyText"/>
              <w:jc w:val="center"/>
            </w:pPr>
            <w:r w:rsidRPr="007B6C8E">
              <w:t>0 (0%)</w:t>
            </w:r>
          </w:p>
        </w:tc>
      </w:tr>
      <w:tr w:rsidR="00183E41" w:rsidRPr="007B6C8E" w14:paraId="0125BEED" w14:textId="77777777" w:rsidTr="00E75BA0">
        <w:trPr>
          <w:cantSplit/>
          <w:jc w:val="center"/>
        </w:trPr>
        <w:tc>
          <w:tcPr>
            <w:tcW w:w="2146" w:type="dxa"/>
          </w:tcPr>
          <w:p w14:paraId="4244E425" w14:textId="77777777" w:rsidR="00183E41" w:rsidRPr="007B6C8E" w:rsidRDefault="00183E41" w:rsidP="00E75BA0">
            <w:pPr>
              <w:pStyle w:val="BodyText"/>
            </w:pPr>
            <w:r w:rsidRPr="007B6C8E">
              <w:t>Hospital Type</w:t>
            </w:r>
          </w:p>
          <w:p w14:paraId="67F127BF" w14:textId="77777777" w:rsidR="00183E41" w:rsidRPr="007B6C8E" w:rsidRDefault="00183E41" w:rsidP="00E75BA0">
            <w:pPr>
              <w:pStyle w:val="BodyText"/>
            </w:pPr>
            <w:r w:rsidRPr="007B6C8E">
              <w:t xml:space="preserve">   State</w:t>
            </w:r>
          </w:p>
          <w:p w14:paraId="298EAF18" w14:textId="77777777" w:rsidR="00183E41" w:rsidRPr="007B6C8E" w:rsidRDefault="00183E41" w:rsidP="00E75BA0">
            <w:pPr>
              <w:pStyle w:val="BodyText"/>
            </w:pPr>
            <w:r w:rsidRPr="007B6C8E">
              <w:t xml:space="preserve">   Federal</w:t>
            </w:r>
          </w:p>
        </w:tc>
        <w:tc>
          <w:tcPr>
            <w:tcW w:w="2614" w:type="dxa"/>
          </w:tcPr>
          <w:p w14:paraId="61DFE3FD" w14:textId="77777777" w:rsidR="00183E41" w:rsidRPr="007B6C8E" w:rsidRDefault="00183E41" w:rsidP="00E75BA0">
            <w:pPr>
              <w:pStyle w:val="BodyText"/>
              <w:jc w:val="center"/>
            </w:pPr>
          </w:p>
          <w:p w14:paraId="653A4A8F" w14:textId="77777777" w:rsidR="00183E41" w:rsidRPr="007B6C8E" w:rsidRDefault="00183E41" w:rsidP="00E75BA0">
            <w:pPr>
              <w:pStyle w:val="BodyText"/>
              <w:jc w:val="center"/>
            </w:pPr>
            <w:r w:rsidRPr="007B6C8E">
              <w:t>1 (100%)</w:t>
            </w:r>
          </w:p>
          <w:p w14:paraId="084B2E23" w14:textId="77777777" w:rsidR="00183E41" w:rsidRPr="007B6C8E" w:rsidRDefault="00183E41" w:rsidP="00E75BA0">
            <w:pPr>
              <w:pStyle w:val="BodyText"/>
              <w:jc w:val="center"/>
            </w:pPr>
            <w:r w:rsidRPr="007B6C8E">
              <w:t>0 (0%)</w:t>
            </w:r>
          </w:p>
        </w:tc>
        <w:tc>
          <w:tcPr>
            <w:tcW w:w="2615" w:type="dxa"/>
          </w:tcPr>
          <w:p w14:paraId="4735B48E" w14:textId="77777777" w:rsidR="00183E41" w:rsidRPr="007B6C8E" w:rsidRDefault="00183E41" w:rsidP="00E75BA0">
            <w:pPr>
              <w:pStyle w:val="BodyText"/>
              <w:jc w:val="center"/>
            </w:pPr>
          </w:p>
          <w:p w14:paraId="725C7C22" w14:textId="77777777" w:rsidR="00183E41" w:rsidRPr="007B6C8E" w:rsidRDefault="00183E41" w:rsidP="00E75BA0">
            <w:pPr>
              <w:pStyle w:val="BodyText"/>
              <w:jc w:val="center"/>
            </w:pPr>
            <w:r w:rsidRPr="007B6C8E">
              <w:t>0 (0%)</w:t>
            </w:r>
          </w:p>
          <w:p w14:paraId="6113084E" w14:textId="77777777" w:rsidR="00183E41" w:rsidRPr="007B6C8E" w:rsidRDefault="00183E41" w:rsidP="00E75BA0">
            <w:pPr>
              <w:pStyle w:val="BodyText"/>
              <w:jc w:val="center"/>
            </w:pPr>
            <w:r w:rsidRPr="007B6C8E">
              <w:t>109 (100%)</w:t>
            </w:r>
          </w:p>
        </w:tc>
        <w:tc>
          <w:tcPr>
            <w:tcW w:w="2615" w:type="dxa"/>
          </w:tcPr>
          <w:p w14:paraId="32327E2A" w14:textId="77777777" w:rsidR="00183E41" w:rsidRPr="007B6C8E" w:rsidRDefault="00183E41" w:rsidP="00E75BA0">
            <w:pPr>
              <w:pStyle w:val="BodyText"/>
              <w:jc w:val="center"/>
            </w:pPr>
          </w:p>
          <w:p w14:paraId="561EE554" w14:textId="77777777" w:rsidR="00183E41" w:rsidRPr="007B6C8E" w:rsidRDefault="00183E41" w:rsidP="00E75BA0">
            <w:pPr>
              <w:pStyle w:val="BodyText"/>
              <w:jc w:val="center"/>
            </w:pPr>
            <w:r w:rsidRPr="007B6C8E">
              <w:t>1 (100%)</w:t>
            </w:r>
          </w:p>
          <w:p w14:paraId="7A5099B5" w14:textId="77777777" w:rsidR="00183E41" w:rsidRPr="007B6C8E" w:rsidRDefault="00183E41" w:rsidP="00E75BA0">
            <w:pPr>
              <w:pStyle w:val="BodyText"/>
              <w:jc w:val="center"/>
            </w:pPr>
            <w:r w:rsidRPr="007B6C8E">
              <w:t>0 (0%)</w:t>
            </w:r>
          </w:p>
        </w:tc>
      </w:tr>
      <w:tr w:rsidR="00183E41" w:rsidRPr="007B6C8E" w14:paraId="7551EAA3" w14:textId="77777777" w:rsidTr="00E75BA0">
        <w:trPr>
          <w:cantSplit/>
          <w:jc w:val="center"/>
        </w:trPr>
        <w:tc>
          <w:tcPr>
            <w:tcW w:w="2146" w:type="dxa"/>
          </w:tcPr>
          <w:p w14:paraId="201A3B7A" w14:textId="77777777" w:rsidR="00183E41" w:rsidRPr="007B6C8E" w:rsidRDefault="00183E41" w:rsidP="00E75BA0">
            <w:pPr>
              <w:pStyle w:val="BodyText"/>
            </w:pPr>
            <w:r w:rsidRPr="007B6C8E">
              <w:t>Bed size</w:t>
            </w:r>
          </w:p>
          <w:p w14:paraId="296885B3" w14:textId="77777777" w:rsidR="00183E41" w:rsidRPr="007B6C8E" w:rsidRDefault="00183E41" w:rsidP="00E75BA0">
            <w:pPr>
              <w:pStyle w:val="BodyText"/>
            </w:pPr>
            <w:r w:rsidRPr="007B6C8E">
              <w:t>≤50</w:t>
            </w:r>
          </w:p>
          <w:p w14:paraId="29DDE2DB" w14:textId="77777777" w:rsidR="00183E41" w:rsidRPr="007B6C8E" w:rsidRDefault="00183E41" w:rsidP="00E75BA0">
            <w:pPr>
              <w:pStyle w:val="BodyText"/>
            </w:pPr>
            <w:r w:rsidRPr="007B6C8E">
              <w:t>51-100</w:t>
            </w:r>
          </w:p>
          <w:p w14:paraId="4054BDF1" w14:textId="77777777" w:rsidR="00183E41" w:rsidRPr="007B6C8E" w:rsidRDefault="00183E41" w:rsidP="00E75BA0">
            <w:pPr>
              <w:pStyle w:val="BodyText"/>
            </w:pPr>
            <w:r w:rsidRPr="007B6C8E">
              <w:t>101-200</w:t>
            </w:r>
          </w:p>
          <w:p w14:paraId="0E07A899" w14:textId="77777777" w:rsidR="00183E41" w:rsidRPr="007B6C8E" w:rsidRDefault="00183E41" w:rsidP="00E75BA0">
            <w:pPr>
              <w:pStyle w:val="BodyText"/>
            </w:pPr>
            <w:r w:rsidRPr="007B6C8E">
              <w:t>&gt;200</w:t>
            </w:r>
          </w:p>
        </w:tc>
        <w:tc>
          <w:tcPr>
            <w:tcW w:w="2614" w:type="dxa"/>
          </w:tcPr>
          <w:p w14:paraId="56DBAFE0" w14:textId="77777777" w:rsidR="00183E41" w:rsidRPr="007B6C8E" w:rsidRDefault="00183E41" w:rsidP="00E75BA0">
            <w:pPr>
              <w:pStyle w:val="BodyText"/>
              <w:jc w:val="center"/>
            </w:pPr>
          </w:p>
          <w:p w14:paraId="44F70A5A" w14:textId="77777777" w:rsidR="00183E41" w:rsidRPr="007B6C8E" w:rsidRDefault="00183E41" w:rsidP="00E75BA0">
            <w:pPr>
              <w:pStyle w:val="BodyText"/>
              <w:jc w:val="center"/>
            </w:pPr>
            <w:r w:rsidRPr="007B6C8E">
              <w:t>0</w:t>
            </w:r>
          </w:p>
          <w:p w14:paraId="545500B3" w14:textId="77777777" w:rsidR="00183E41" w:rsidRPr="007B6C8E" w:rsidRDefault="00183E41" w:rsidP="00E75BA0">
            <w:pPr>
              <w:pStyle w:val="BodyText"/>
              <w:jc w:val="center"/>
            </w:pPr>
            <w:r w:rsidRPr="007B6C8E">
              <w:t>0</w:t>
            </w:r>
          </w:p>
          <w:p w14:paraId="5C08C358" w14:textId="77777777" w:rsidR="00183E41" w:rsidRPr="007B6C8E" w:rsidRDefault="00183E41" w:rsidP="00E75BA0">
            <w:pPr>
              <w:pStyle w:val="BodyText"/>
              <w:jc w:val="center"/>
            </w:pPr>
            <w:r w:rsidRPr="007B6C8E">
              <w:t>0</w:t>
            </w:r>
          </w:p>
          <w:p w14:paraId="573AEB85" w14:textId="77777777" w:rsidR="00183E41" w:rsidRPr="007B6C8E" w:rsidRDefault="00183E41" w:rsidP="00E75BA0">
            <w:pPr>
              <w:pStyle w:val="BodyText"/>
              <w:jc w:val="center"/>
            </w:pPr>
            <w:r w:rsidRPr="007B6C8E">
              <w:t>1 (100%)</w:t>
            </w:r>
          </w:p>
        </w:tc>
        <w:tc>
          <w:tcPr>
            <w:tcW w:w="2615" w:type="dxa"/>
          </w:tcPr>
          <w:p w14:paraId="0A6A4462" w14:textId="77777777" w:rsidR="00183E41" w:rsidRPr="007B6C8E" w:rsidRDefault="00183E41" w:rsidP="00E75BA0">
            <w:pPr>
              <w:pStyle w:val="BodyText"/>
              <w:jc w:val="center"/>
            </w:pPr>
          </w:p>
          <w:p w14:paraId="29CE08C5" w14:textId="77777777" w:rsidR="00183E41" w:rsidRPr="007B6C8E" w:rsidRDefault="00183E41" w:rsidP="00E75BA0">
            <w:pPr>
              <w:pStyle w:val="BodyText"/>
              <w:jc w:val="center"/>
            </w:pPr>
            <w:r w:rsidRPr="007B6C8E">
              <w:t>30 (27.5%)</w:t>
            </w:r>
          </w:p>
          <w:p w14:paraId="603324A3" w14:textId="77777777" w:rsidR="00183E41" w:rsidRPr="007B6C8E" w:rsidRDefault="00183E41" w:rsidP="00E75BA0">
            <w:pPr>
              <w:pStyle w:val="BodyText"/>
              <w:jc w:val="center"/>
            </w:pPr>
            <w:r w:rsidRPr="007B6C8E">
              <w:t>24 (22.0%)</w:t>
            </w:r>
          </w:p>
          <w:p w14:paraId="25116E76" w14:textId="77777777" w:rsidR="00183E41" w:rsidRPr="007B6C8E" w:rsidRDefault="00183E41" w:rsidP="00E75BA0">
            <w:pPr>
              <w:pStyle w:val="BodyText"/>
              <w:jc w:val="center"/>
            </w:pPr>
            <w:r w:rsidRPr="007B6C8E">
              <w:t>41 (37.6%)</w:t>
            </w:r>
          </w:p>
          <w:p w14:paraId="28C77844" w14:textId="77777777" w:rsidR="00183E41" w:rsidRPr="007B6C8E" w:rsidRDefault="00183E41" w:rsidP="00E75BA0">
            <w:pPr>
              <w:pStyle w:val="BodyText"/>
              <w:jc w:val="center"/>
            </w:pPr>
            <w:r w:rsidRPr="007B6C8E">
              <w:t>14 (12.8%)</w:t>
            </w:r>
          </w:p>
        </w:tc>
        <w:tc>
          <w:tcPr>
            <w:tcW w:w="2615" w:type="dxa"/>
          </w:tcPr>
          <w:p w14:paraId="075D828D" w14:textId="77777777" w:rsidR="00183E41" w:rsidRPr="007B6C8E" w:rsidRDefault="00183E41" w:rsidP="00E75BA0">
            <w:pPr>
              <w:pStyle w:val="BodyText"/>
              <w:jc w:val="center"/>
            </w:pPr>
          </w:p>
          <w:p w14:paraId="29661764" w14:textId="77777777" w:rsidR="00183E41" w:rsidRPr="007B6C8E" w:rsidRDefault="00183E41" w:rsidP="00E75BA0">
            <w:pPr>
              <w:pStyle w:val="BodyText"/>
              <w:jc w:val="center"/>
            </w:pPr>
            <w:r w:rsidRPr="007B6C8E">
              <w:t>0</w:t>
            </w:r>
          </w:p>
          <w:p w14:paraId="4C9C2BB2" w14:textId="77777777" w:rsidR="00183E41" w:rsidRPr="007B6C8E" w:rsidRDefault="00183E41" w:rsidP="00E75BA0">
            <w:pPr>
              <w:pStyle w:val="BodyText"/>
              <w:jc w:val="center"/>
            </w:pPr>
            <w:r w:rsidRPr="007B6C8E">
              <w:t>0</w:t>
            </w:r>
          </w:p>
          <w:p w14:paraId="1E4539BC" w14:textId="77777777" w:rsidR="00183E41" w:rsidRPr="007B6C8E" w:rsidRDefault="00183E41" w:rsidP="00E75BA0">
            <w:pPr>
              <w:pStyle w:val="BodyText"/>
              <w:jc w:val="center"/>
            </w:pPr>
            <w:r w:rsidRPr="007B6C8E">
              <w:t>0</w:t>
            </w:r>
          </w:p>
          <w:p w14:paraId="60C4B49E" w14:textId="77777777" w:rsidR="00183E41" w:rsidRPr="007B6C8E" w:rsidRDefault="00183E41" w:rsidP="00E75BA0">
            <w:pPr>
              <w:pStyle w:val="BodyText"/>
              <w:jc w:val="center"/>
            </w:pPr>
            <w:r w:rsidRPr="007B6C8E">
              <w:t>1 (100%)</w:t>
            </w:r>
          </w:p>
        </w:tc>
      </w:tr>
      <w:tr w:rsidR="00183E41" w:rsidRPr="007B6C8E" w14:paraId="46D011A2" w14:textId="77777777" w:rsidTr="00E75BA0">
        <w:trPr>
          <w:cantSplit/>
          <w:jc w:val="center"/>
        </w:trPr>
        <w:tc>
          <w:tcPr>
            <w:tcW w:w="2146" w:type="dxa"/>
          </w:tcPr>
          <w:p w14:paraId="62A355DD" w14:textId="77777777" w:rsidR="00183E41" w:rsidRPr="007B6C8E" w:rsidRDefault="00183E41" w:rsidP="00E75BA0">
            <w:pPr>
              <w:pStyle w:val="BodyText"/>
            </w:pPr>
            <w:r w:rsidRPr="007B6C8E">
              <w:t>Annual patient census</w:t>
            </w:r>
          </w:p>
        </w:tc>
        <w:tc>
          <w:tcPr>
            <w:tcW w:w="2614" w:type="dxa"/>
          </w:tcPr>
          <w:p w14:paraId="2F21F9CB" w14:textId="77777777" w:rsidR="00183E41" w:rsidRPr="007B6C8E" w:rsidRDefault="00183E41" w:rsidP="00E75BA0">
            <w:pPr>
              <w:pStyle w:val="BodyText"/>
              <w:jc w:val="center"/>
            </w:pPr>
            <w:r w:rsidRPr="007B6C8E">
              <w:t>29,450</w:t>
            </w:r>
          </w:p>
        </w:tc>
        <w:tc>
          <w:tcPr>
            <w:tcW w:w="2615" w:type="dxa"/>
          </w:tcPr>
          <w:p w14:paraId="4578B9E9" w14:textId="77777777" w:rsidR="00183E41" w:rsidRPr="007B6C8E" w:rsidRDefault="00183E41" w:rsidP="00E75BA0">
            <w:pPr>
              <w:pStyle w:val="BodyText"/>
              <w:jc w:val="center"/>
            </w:pPr>
            <w:r w:rsidRPr="007B6C8E">
              <w:t xml:space="preserve">1,905,732* </w:t>
            </w:r>
          </w:p>
        </w:tc>
        <w:tc>
          <w:tcPr>
            <w:tcW w:w="2615" w:type="dxa"/>
          </w:tcPr>
          <w:p w14:paraId="4380FF54" w14:textId="77777777" w:rsidR="00183E41" w:rsidRPr="007B6C8E" w:rsidRDefault="00183E41" w:rsidP="00E75BA0">
            <w:pPr>
              <w:pStyle w:val="BodyText"/>
              <w:jc w:val="center"/>
            </w:pPr>
            <w:r w:rsidRPr="007B6C8E">
              <w:t>49,730</w:t>
            </w:r>
          </w:p>
        </w:tc>
      </w:tr>
    </w:tbl>
    <w:p w14:paraId="37413EB5" w14:textId="77777777" w:rsidR="00183E41" w:rsidRPr="007B6C8E" w:rsidRDefault="00183E41" w:rsidP="00183E41">
      <w:pPr>
        <w:rPr>
          <w:rFonts w:ascii="Arial" w:hAnsi="Arial" w:cs="Arial"/>
        </w:rPr>
      </w:pPr>
    </w:p>
    <w:p w14:paraId="1C6D2F8B" w14:textId="23C5ACCF" w:rsidR="00183E41" w:rsidRDefault="00183E41">
      <w:pPr>
        <w:rPr>
          <w:rFonts w:ascii="Arial" w:hAnsi="Arial" w:cs="Arial"/>
          <w:sz w:val="20"/>
          <w:szCs w:val="20"/>
        </w:rPr>
      </w:pPr>
      <w:r>
        <w:rPr>
          <w:rFonts w:ascii="Arial" w:hAnsi="Arial" w:cs="Arial"/>
          <w:sz w:val="20"/>
          <w:szCs w:val="20"/>
        </w:rPr>
        <w:br w:type="page"/>
      </w:r>
    </w:p>
    <w:p w14:paraId="53CA6886" w14:textId="3BB8AB9A" w:rsidR="00183E41" w:rsidRDefault="00183E41" w:rsidP="00183E41">
      <w:pPr>
        <w:spacing w:line="264" w:lineRule="auto"/>
        <w:rPr>
          <w:rFonts w:ascii="Arial" w:hAnsi="Arial" w:cs="Arial"/>
          <w:b/>
          <w:bCs/>
        </w:rPr>
      </w:pPr>
      <w:r w:rsidRPr="00423C5B">
        <w:rPr>
          <w:rFonts w:ascii="Arial" w:hAnsi="Arial" w:cs="Arial"/>
          <w:b/>
          <w:bCs/>
        </w:rPr>
        <w:lastRenderedPageBreak/>
        <w:t>Characteristics of Units of the Eligible Population</w:t>
      </w:r>
    </w:p>
    <w:p w14:paraId="1718C5CF" w14:textId="77777777" w:rsidR="00183E41" w:rsidRPr="00423C5B" w:rsidRDefault="00183E41" w:rsidP="00183E41">
      <w:pPr>
        <w:spacing w:line="264" w:lineRule="auto"/>
        <w:rPr>
          <w:rFonts w:ascii="Arial" w:hAnsi="Arial" w:cs="Arial"/>
          <w:b/>
          <w:bCs/>
        </w:rPr>
      </w:pPr>
    </w:p>
    <w:p w14:paraId="2C69439B" w14:textId="421A1EC0" w:rsidR="00183E41" w:rsidRPr="0002187D" w:rsidRDefault="00183E41" w:rsidP="00183E41">
      <w:pPr>
        <w:spacing w:line="264" w:lineRule="auto"/>
        <w:rPr>
          <w:rFonts w:ascii="Arial" w:hAnsi="Arial" w:cs="Arial"/>
          <w:sz w:val="22"/>
          <w:szCs w:val="22"/>
        </w:rPr>
      </w:pPr>
      <w:bookmarkStart w:id="23" w:name="_Hlk181122505"/>
      <w:bookmarkStart w:id="24" w:name="_Hlk179895439"/>
      <w:r w:rsidRPr="0002187D">
        <w:rPr>
          <w:rFonts w:ascii="Arial" w:hAnsi="Arial" w:cs="Arial"/>
          <w:b/>
          <w:bCs/>
          <w:sz w:val="22"/>
          <w:szCs w:val="22"/>
        </w:rPr>
        <w:t xml:space="preserve">Table </w:t>
      </w:r>
      <w:r w:rsidR="00A96589">
        <w:rPr>
          <w:rFonts w:ascii="Arial" w:hAnsi="Arial" w:cs="Arial"/>
          <w:b/>
          <w:bCs/>
          <w:sz w:val="22"/>
          <w:szCs w:val="22"/>
        </w:rPr>
        <w:t>1</w:t>
      </w:r>
      <w:r w:rsidR="00D271BC">
        <w:rPr>
          <w:rFonts w:ascii="Arial" w:hAnsi="Arial" w:cs="Arial"/>
          <w:b/>
          <w:bCs/>
          <w:sz w:val="22"/>
          <w:szCs w:val="22"/>
        </w:rPr>
        <w:t>5</w:t>
      </w:r>
      <w:r w:rsidRPr="0002187D">
        <w:rPr>
          <w:rFonts w:ascii="Arial" w:hAnsi="Arial" w:cs="Arial"/>
          <w:b/>
          <w:bCs/>
          <w:sz w:val="22"/>
          <w:szCs w:val="22"/>
        </w:rPr>
        <w:t>.</w:t>
      </w:r>
      <w:r w:rsidRPr="0002187D">
        <w:rPr>
          <w:rFonts w:ascii="Arial" w:hAnsi="Arial" w:cs="Arial"/>
          <w:sz w:val="22"/>
          <w:szCs w:val="22"/>
        </w:rPr>
        <w:t xml:space="preserve"> Characteristics of VA patients in the testing dataset</w:t>
      </w:r>
      <w:bookmarkEnd w:id="23"/>
      <w:r w:rsidRPr="0002187D">
        <w:rPr>
          <w:rFonts w:ascii="Arial" w:hAnsi="Arial" w:cs="Arial"/>
          <w:sz w:val="22"/>
          <w:szCs w:val="22"/>
        </w:rPr>
        <w:t>: all eligible patients, patients with excess antibiotic duration, and patients with duration consistent with clinical guidelines.</w:t>
      </w:r>
    </w:p>
    <w:p w14:paraId="5D536DFE" w14:textId="77777777" w:rsidR="00183E41" w:rsidRPr="0002187D" w:rsidRDefault="00183E41" w:rsidP="00183E41">
      <w:pPr>
        <w:pStyle w:val="BodyText"/>
        <w:spacing w:line="264" w:lineRule="auto"/>
        <w:rPr>
          <w:sz w:val="22"/>
          <w:szCs w:val="22"/>
        </w:rPr>
      </w:pPr>
    </w:p>
    <w:tbl>
      <w:tblPr>
        <w:tblStyle w:val="TableGrid"/>
        <w:tblW w:w="10075" w:type="dxa"/>
        <w:tblLayout w:type="fixed"/>
        <w:tblLook w:val="04A0" w:firstRow="1" w:lastRow="0" w:firstColumn="1" w:lastColumn="0" w:noHBand="0" w:noVBand="1"/>
        <w:tblCaption w:val="Table 9. Characteristics of VA patients in the duration testing dataset (n=28,238)"/>
        <w:tblDescription w:val="Table 9 shows that VA patients tend to be older (median age of 75), white (75%), and male (95%) and had a wide range of co-morbidities (median [IQR] Elixhauser index of 6 [1,11]). Patients who received excess antibiotic duration (7 or more days) were not appreciably different from those with appropriate duration (&lt;7 days) for any demographic or clinical co-morbidity."/>
      </w:tblPr>
      <w:tblGrid>
        <w:gridCol w:w="4135"/>
        <w:gridCol w:w="1980"/>
        <w:gridCol w:w="1980"/>
        <w:gridCol w:w="1980"/>
      </w:tblGrid>
      <w:tr w:rsidR="00183E41" w:rsidRPr="0002187D" w14:paraId="6CBE85A7" w14:textId="77777777" w:rsidTr="00E75BA0">
        <w:trPr>
          <w:cantSplit/>
          <w:trHeight w:val="300"/>
          <w:tblHeader/>
        </w:trPr>
        <w:tc>
          <w:tcPr>
            <w:tcW w:w="4135" w:type="dxa"/>
            <w:noWrap/>
            <w:vAlign w:val="center"/>
            <w:hideMark/>
          </w:tcPr>
          <w:p w14:paraId="64AF9D8F" w14:textId="77777777" w:rsidR="00183E41" w:rsidRPr="007F7AEB" w:rsidRDefault="00183E41" w:rsidP="00E75BA0">
            <w:pPr>
              <w:pStyle w:val="BodyText"/>
              <w:rPr>
                <w:b/>
                <w:bCs/>
                <w:sz w:val="22"/>
                <w:szCs w:val="22"/>
              </w:rPr>
            </w:pPr>
            <w:r w:rsidRPr="007F7AEB">
              <w:rPr>
                <w:b/>
                <w:bCs/>
                <w:sz w:val="22"/>
                <w:szCs w:val="22"/>
              </w:rPr>
              <w:t>Variable</w:t>
            </w:r>
          </w:p>
        </w:tc>
        <w:tc>
          <w:tcPr>
            <w:tcW w:w="1980" w:type="dxa"/>
            <w:noWrap/>
            <w:vAlign w:val="center"/>
            <w:hideMark/>
          </w:tcPr>
          <w:p w14:paraId="403C738E" w14:textId="77777777" w:rsidR="00183E41" w:rsidRDefault="00183E41" w:rsidP="00E75BA0">
            <w:pPr>
              <w:pStyle w:val="NoSpacing"/>
              <w:jc w:val="center"/>
              <w:rPr>
                <w:rFonts w:ascii="Arial" w:hAnsi="Arial" w:cs="Arial"/>
                <w:b/>
                <w:bCs/>
              </w:rPr>
            </w:pPr>
            <w:r w:rsidRPr="007F7AEB">
              <w:rPr>
                <w:rFonts w:ascii="Arial" w:hAnsi="Arial" w:cs="Arial"/>
                <w:b/>
                <w:bCs/>
              </w:rPr>
              <w:t xml:space="preserve">All Eligible Patients </w:t>
            </w:r>
          </w:p>
          <w:p w14:paraId="6A29EB0C" w14:textId="77777777" w:rsidR="00183E41" w:rsidRPr="007F7AEB" w:rsidRDefault="00183E41" w:rsidP="00E75BA0">
            <w:pPr>
              <w:pStyle w:val="NoSpacing"/>
              <w:jc w:val="center"/>
              <w:rPr>
                <w:rFonts w:ascii="Arial" w:hAnsi="Arial" w:cs="Arial"/>
                <w:b/>
                <w:bCs/>
              </w:rPr>
            </w:pPr>
            <w:r w:rsidRPr="007F7AEB">
              <w:rPr>
                <w:rFonts w:ascii="Arial" w:hAnsi="Arial" w:cs="Arial"/>
                <w:b/>
                <w:bCs/>
              </w:rPr>
              <w:t>n=28,238</w:t>
            </w:r>
          </w:p>
        </w:tc>
        <w:tc>
          <w:tcPr>
            <w:tcW w:w="1980" w:type="dxa"/>
            <w:noWrap/>
            <w:vAlign w:val="center"/>
            <w:hideMark/>
          </w:tcPr>
          <w:p w14:paraId="652B0ABE" w14:textId="77777777" w:rsidR="00183E41" w:rsidRPr="007F7AEB" w:rsidRDefault="00183E41" w:rsidP="00E75BA0">
            <w:pPr>
              <w:pStyle w:val="BodyText"/>
              <w:jc w:val="center"/>
              <w:rPr>
                <w:b/>
                <w:bCs/>
                <w:sz w:val="22"/>
                <w:szCs w:val="22"/>
              </w:rPr>
            </w:pPr>
            <w:r w:rsidRPr="007F7AEB">
              <w:rPr>
                <w:b/>
                <w:bCs/>
                <w:sz w:val="22"/>
                <w:szCs w:val="22"/>
              </w:rPr>
              <w:t>Duration ≥ 7 days</w:t>
            </w:r>
          </w:p>
          <w:p w14:paraId="3F47FDA1" w14:textId="77777777" w:rsidR="00183E41" w:rsidRDefault="00183E41" w:rsidP="00E75BA0">
            <w:pPr>
              <w:pStyle w:val="BodyText"/>
              <w:jc w:val="center"/>
              <w:rPr>
                <w:b/>
                <w:bCs/>
                <w:sz w:val="22"/>
                <w:szCs w:val="22"/>
              </w:rPr>
            </w:pPr>
            <w:r w:rsidRPr="007F7AEB">
              <w:rPr>
                <w:b/>
                <w:bCs/>
                <w:sz w:val="22"/>
                <w:szCs w:val="22"/>
              </w:rPr>
              <w:t xml:space="preserve">n=11,232 </w:t>
            </w:r>
          </w:p>
          <w:p w14:paraId="47D9E4D3" w14:textId="77777777" w:rsidR="00183E41" w:rsidRPr="007F7AEB" w:rsidRDefault="00183E41" w:rsidP="00E75BA0">
            <w:pPr>
              <w:pStyle w:val="BodyText"/>
              <w:jc w:val="center"/>
              <w:rPr>
                <w:b/>
                <w:bCs/>
                <w:sz w:val="22"/>
                <w:szCs w:val="22"/>
              </w:rPr>
            </w:pPr>
            <w:r w:rsidRPr="007F7AEB">
              <w:rPr>
                <w:b/>
                <w:bCs/>
                <w:sz w:val="22"/>
                <w:szCs w:val="22"/>
              </w:rPr>
              <w:t>(39.8%)</w:t>
            </w:r>
          </w:p>
        </w:tc>
        <w:tc>
          <w:tcPr>
            <w:tcW w:w="1980" w:type="dxa"/>
            <w:noWrap/>
            <w:vAlign w:val="center"/>
            <w:hideMark/>
          </w:tcPr>
          <w:p w14:paraId="0D2C5C9B" w14:textId="77777777" w:rsidR="00183E41" w:rsidRPr="007F7AEB" w:rsidRDefault="00183E41" w:rsidP="00E75BA0">
            <w:pPr>
              <w:pStyle w:val="BodyText"/>
              <w:jc w:val="center"/>
              <w:rPr>
                <w:b/>
                <w:bCs/>
                <w:sz w:val="22"/>
                <w:szCs w:val="22"/>
              </w:rPr>
            </w:pPr>
            <w:r w:rsidRPr="007F7AEB">
              <w:rPr>
                <w:b/>
                <w:bCs/>
                <w:sz w:val="22"/>
                <w:szCs w:val="22"/>
              </w:rPr>
              <w:t>Duration &lt; 7 days</w:t>
            </w:r>
          </w:p>
          <w:p w14:paraId="79E953A3" w14:textId="77777777" w:rsidR="00183E41" w:rsidRPr="007F7AEB" w:rsidRDefault="00183E41" w:rsidP="00E75BA0">
            <w:pPr>
              <w:pStyle w:val="BodyText"/>
              <w:jc w:val="center"/>
              <w:rPr>
                <w:b/>
                <w:bCs/>
                <w:sz w:val="22"/>
                <w:szCs w:val="22"/>
              </w:rPr>
            </w:pPr>
            <w:r w:rsidRPr="007F7AEB">
              <w:rPr>
                <w:b/>
                <w:bCs/>
                <w:sz w:val="22"/>
                <w:szCs w:val="22"/>
              </w:rPr>
              <w:t>n=17,006</w:t>
            </w:r>
          </w:p>
          <w:p w14:paraId="073A904D" w14:textId="77777777" w:rsidR="00183E41" w:rsidRPr="007F7AEB" w:rsidRDefault="00183E41" w:rsidP="00E75BA0">
            <w:pPr>
              <w:pStyle w:val="BodyText"/>
              <w:jc w:val="center"/>
              <w:rPr>
                <w:b/>
                <w:bCs/>
                <w:sz w:val="22"/>
                <w:szCs w:val="22"/>
              </w:rPr>
            </w:pPr>
            <w:r w:rsidRPr="007F7AEB">
              <w:rPr>
                <w:b/>
                <w:bCs/>
                <w:sz w:val="22"/>
                <w:szCs w:val="22"/>
              </w:rPr>
              <w:t>(60.2%)</w:t>
            </w:r>
          </w:p>
        </w:tc>
      </w:tr>
      <w:tr w:rsidR="00183E41" w:rsidRPr="0002187D" w14:paraId="6DDCCEAD" w14:textId="77777777" w:rsidTr="00E75BA0">
        <w:trPr>
          <w:cantSplit/>
          <w:trHeight w:val="288"/>
        </w:trPr>
        <w:tc>
          <w:tcPr>
            <w:tcW w:w="4135" w:type="dxa"/>
            <w:noWrap/>
            <w:hideMark/>
          </w:tcPr>
          <w:p w14:paraId="641A53E6" w14:textId="77777777" w:rsidR="00183E41" w:rsidRPr="007F7AEB" w:rsidRDefault="00183E41" w:rsidP="00E75BA0">
            <w:pPr>
              <w:pStyle w:val="BodyText"/>
              <w:rPr>
                <w:sz w:val="22"/>
                <w:szCs w:val="22"/>
              </w:rPr>
            </w:pPr>
            <w:r w:rsidRPr="007F7AEB">
              <w:rPr>
                <w:sz w:val="22"/>
                <w:szCs w:val="22"/>
              </w:rPr>
              <w:t>Age,</w:t>
            </w:r>
            <w:r>
              <w:rPr>
                <w:sz w:val="22"/>
                <w:szCs w:val="22"/>
              </w:rPr>
              <w:t xml:space="preserve"> years,</w:t>
            </w:r>
            <w:r w:rsidRPr="007F7AEB">
              <w:rPr>
                <w:sz w:val="22"/>
                <w:szCs w:val="22"/>
              </w:rPr>
              <w:t xml:space="preserve"> median (</w:t>
            </w:r>
            <w:r>
              <w:rPr>
                <w:sz w:val="22"/>
                <w:szCs w:val="22"/>
              </w:rPr>
              <w:t>IQR</w:t>
            </w:r>
            <w:r w:rsidRPr="007F7AEB">
              <w:rPr>
                <w:sz w:val="22"/>
                <w:szCs w:val="22"/>
              </w:rPr>
              <w:t>)</w:t>
            </w:r>
          </w:p>
        </w:tc>
        <w:tc>
          <w:tcPr>
            <w:tcW w:w="1980" w:type="dxa"/>
            <w:noWrap/>
            <w:vAlign w:val="center"/>
          </w:tcPr>
          <w:p w14:paraId="61117EB0" w14:textId="77777777" w:rsidR="00183E41" w:rsidRPr="007F7AEB" w:rsidRDefault="00183E41" w:rsidP="00E75BA0">
            <w:pPr>
              <w:pStyle w:val="BodyText"/>
              <w:jc w:val="center"/>
              <w:rPr>
                <w:sz w:val="22"/>
                <w:szCs w:val="22"/>
              </w:rPr>
            </w:pPr>
            <w:r w:rsidRPr="007F7AEB">
              <w:rPr>
                <w:color w:val="000000"/>
                <w:sz w:val="22"/>
                <w:szCs w:val="22"/>
              </w:rPr>
              <w:t xml:space="preserve">75 </w:t>
            </w:r>
            <w:r>
              <w:rPr>
                <w:color w:val="000000"/>
                <w:sz w:val="22"/>
                <w:szCs w:val="22"/>
              </w:rPr>
              <w:t>(</w:t>
            </w:r>
            <w:r w:rsidRPr="007F7AEB">
              <w:rPr>
                <w:color w:val="000000"/>
                <w:sz w:val="22"/>
                <w:szCs w:val="22"/>
              </w:rPr>
              <w:t>68-81</w:t>
            </w:r>
            <w:r>
              <w:rPr>
                <w:color w:val="000000"/>
                <w:sz w:val="22"/>
                <w:szCs w:val="22"/>
              </w:rPr>
              <w:t>)</w:t>
            </w:r>
          </w:p>
        </w:tc>
        <w:tc>
          <w:tcPr>
            <w:tcW w:w="1980" w:type="dxa"/>
            <w:noWrap/>
            <w:vAlign w:val="center"/>
          </w:tcPr>
          <w:p w14:paraId="7736017F" w14:textId="77777777" w:rsidR="00183E41" w:rsidRPr="007F7AEB" w:rsidRDefault="00183E41" w:rsidP="00E75BA0">
            <w:pPr>
              <w:pStyle w:val="BodyText"/>
              <w:jc w:val="center"/>
              <w:rPr>
                <w:sz w:val="22"/>
                <w:szCs w:val="22"/>
              </w:rPr>
            </w:pPr>
            <w:r w:rsidRPr="007F7AEB">
              <w:rPr>
                <w:color w:val="000000"/>
                <w:sz w:val="22"/>
                <w:szCs w:val="22"/>
              </w:rPr>
              <w:t xml:space="preserve">75 </w:t>
            </w:r>
            <w:r>
              <w:rPr>
                <w:color w:val="000000"/>
                <w:sz w:val="22"/>
                <w:szCs w:val="22"/>
              </w:rPr>
              <w:t>(</w:t>
            </w:r>
            <w:r w:rsidRPr="007F7AEB">
              <w:rPr>
                <w:color w:val="000000"/>
                <w:sz w:val="22"/>
                <w:szCs w:val="22"/>
              </w:rPr>
              <w:t>68</w:t>
            </w:r>
            <w:r>
              <w:rPr>
                <w:color w:val="000000"/>
                <w:sz w:val="22"/>
                <w:szCs w:val="22"/>
              </w:rPr>
              <w:t>–</w:t>
            </w:r>
            <w:r w:rsidRPr="007F7AEB">
              <w:rPr>
                <w:color w:val="000000"/>
                <w:sz w:val="22"/>
                <w:szCs w:val="22"/>
              </w:rPr>
              <w:t>80</w:t>
            </w:r>
            <w:r>
              <w:rPr>
                <w:color w:val="000000"/>
                <w:sz w:val="22"/>
                <w:szCs w:val="22"/>
              </w:rPr>
              <w:t>)</w:t>
            </w:r>
          </w:p>
        </w:tc>
        <w:tc>
          <w:tcPr>
            <w:tcW w:w="1980" w:type="dxa"/>
            <w:noWrap/>
            <w:vAlign w:val="center"/>
          </w:tcPr>
          <w:p w14:paraId="6DE463FD" w14:textId="77777777" w:rsidR="00183E41" w:rsidRPr="007F7AEB" w:rsidRDefault="00183E41" w:rsidP="00E75BA0">
            <w:pPr>
              <w:pStyle w:val="BodyText"/>
              <w:jc w:val="center"/>
              <w:rPr>
                <w:sz w:val="22"/>
                <w:szCs w:val="22"/>
              </w:rPr>
            </w:pPr>
            <w:r w:rsidRPr="007F7AEB">
              <w:rPr>
                <w:color w:val="000000"/>
                <w:sz w:val="22"/>
                <w:szCs w:val="22"/>
              </w:rPr>
              <w:t xml:space="preserve">75 </w:t>
            </w:r>
            <w:r>
              <w:rPr>
                <w:color w:val="000000"/>
                <w:sz w:val="22"/>
                <w:szCs w:val="22"/>
              </w:rPr>
              <w:t>(</w:t>
            </w:r>
            <w:r w:rsidRPr="007F7AEB">
              <w:rPr>
                <w:color w:val="000000"/>
                <w:sz w:val="22"/>
                <w:szCs w:val="22"/>
              </w:rPr>
              <w:t>68-81</w:t>
            </w:r>
            <w:r>
              <w:rPr>
                <w:color w:val="000000"/>
                <w:sz w:val="22"/>
                <w:szCs w:val="22"/>
              </w:rPr>
              <w:t>)</w:t>
            </w:r>
          </w:p>
        </w:tc>
      </w:tr>
      <w:tr w:rsidR="00183E41" w:rsidRPr="0002187D" w14:paraId="1E888571" w14:textId="77777777" w:rsidTr="00E75BA0">
        <w:trPr>
          <w:cantSplit/>
          <w:trHeight w:val="288"/>
        </w:trPr>
        <w:tc>
          <w:tcPr>
            <w:tcW w:w="4135" w:type="dxa"/>
            <w:noWrap/>
            <w:hideMark/>
          </w:tcPr>
          <w:p w14:paraId="4AF1C719" w14:textId="77777777" w:rsidR="00183E41" w:rsidRPr="007F7AEB" w:rsidRDefault="00183E41" w:rsidP="00E75BA0">
            <w:pPr>
              <w:pStyle w:val="BodyText"/>
              <w:rPr>
                <w:sz w:val="22"/>
                <w:szCs w:val="22"/>
              </w:rPr>
            </w:pPr>
            <w:r w:rsidRPr="007F7AEB">
              <w:rPr>
                <w:sz w:val="22"/>
                <w:szCs w:val="22"/>
              </w:rPr>
              <w:t>Sex</w:t>
            </w:r>
          </w:p>
        </w:tc>
        <w:tc>
          <w:tcPr>
            <w:tcW w:w="1980" w:type="dxa"/>
            <w:noWrap/>
            <w:vAlign w:val="center"/>
          </w:tcPr>
          <w:p w14:paraId="386FD47D" w14:textId="77777777" w:rsidR="00183E41" w:rsidRPr="007F7AEB" w:rsidRDefault="00183E41" w:rsidP="00E75BA0">
            <w:pPr>
              <w:pStyle w:val="BodyText"/>
              <w:jc w:val="center"/>
              <w:rPr>
                <w:sz w:val="22"/>
                <w:szCs w:val="22"/>
              </w:rPr>
            </w:pPr>
            <w:r>
              <w:rPr>
                <w:sz w:val="22"/>
                <w:szCs w:val="22"/>
              </w:rPr>
              <w:t>*</w:t>
            </w:r>
          </w:p>
        </w:tc>
        <w:tc>
          <w:tcPr>
            <w:tcW w:w="1980" w:type="dxa"/>
            <w:noWrap/>
            <w:vAlign w:val="center"/>
          </w:tcPr>
          <w:p w14:paraId="3537810C" w14:textId="77777777" w:rsidR="00183E41" w:rsidRPr="007F7AEB" w:rsidRDefault="00183E41" w:rsidP="00E75BA0">
            <w:pPr>
              <w:pStyle w:val="BodyText"/>
              <w:jc w:val="center"/>
              <w:rPr>
                <w:sz w:val="22"/>
                <w:szCs w:val="22"/>
              </w:rPr>
            </w:pPr>
            <w:r>
              <w:rPr>
                <w:sz w:val="22"/>
                <w:szCs w:val="22"/>
              </w:rPr>
              <w:t>*</w:t>
            </w:r>
          </w:p>
        </w:tc>
        <w:tc>
          <w:tcPr>
            <w:tcW w:w="1980" w:type="dxa"/>
            <w:noWrap/>
            <w:vAlign w:val="center"/>
          </w:tcPr>
          <w:p w14:paraId="2D5E87B2" w14:textId="77777777" w:rsidR="00183E41" w:rsidRPr="007F7AEB" w:rsidRDefault="00183E41" w:rsidP="00E75BA0">
            <w:pPr>
              <w:pStyle w:val="BodyText"/>
              <w:jc w:val="center"/>
              <w:rPr>
                <w:sz w:val="22"/>
                <w:szCs w:val="22"/>
              </w:rPr>
            </w:pPr>
            <w:r>
              <w:rPr>
                <w:sz w:val="22"/>
                <w:szCs w:val="22"/>
              </w:rPr>
              <w:t>*</w:t>
            </w:r>
          </w:p>
        </w:tc>
      </w:tr>
      <w:tr w:rsidR="00183E41" w:rsidRPr="0002187D" w14:paraId="0B03517F" w14:textId="77777777" w:rsidTr="00E75BA0">
        <w:trPr>
          <w:cantSplit/>
          <w:trHeight w:val="288"/>
        </w:trPr>
        <w:tc>
          <w:tcPr>
            <w:tcW w:w="4135" w:type="dxa"/>
            <w:noWrap/>
          </w:tcPr>
          <w:p w14:paraId="7674085B" w14:textId="77777777" w:rsidR="00183E41" w:rsidRPr="007F7AEB" w:rsidRDefault="00183E41" w:rsidP="00E75BA0">
            <w:pPr>
              <w:pStyle w:val="BodyText"/>
              <w:ind w:left="144"/>
              <w:rPr>
                <w:sz w:val="22"/>
                <w:szCs w:val="22"/>
              </w:rPr>
            </w:pPr>
            <w:r w:rsidRPr="007F7AEB">
              <w:rPr>
                <w:sz w:val="22"/>
                <w:szCs w:val="22"/>
              </w:rPr>
              <w:t>Male</w:t>
            </w:r>
          </w:p>
        </w:tc>
        <w:tc>
          <w:tcPr>
            <w:tcW w:w="1980" w:type="dxa"/>
            <w:noWrap/>
            <w:vAlign w:val="center"/>
          </w:tcPr>
          <w:p w14:paraId="5C716FC3" w14:textId="77777777" w:rsidR="00183E41" w:rsidRPr="007F7AEB" w:rsidRDefault="00183E41" w:rsidP="00E75BA0">
            <w:pPr>
              <w:pStyle w:val="BodyText"/>
              <w:jc w:val="center"/>
              <w:rPr>
                <w:sz w:val="22"/>
                <w:szCs w:val="22"/>
              </w:rPr>
            </w:pPr>
            <w:r w:rsidRPr="007F7AEB">
              <w:rPr>
                <w:color w:val="000000"/>
                <w:sz w:val="22"/>
                <w:szCs w:val="22"/>
              </w:rPr>
              <w:t>95.2%</w:t>
            </w:r>
          </w:p>
        </w:tc>
        <w:tc>
          <w:tcPr>
            <w:tcW w:w="1980" w:type="dxa"/>
            <w:noWrap/>
            <w:vAlign w:val="center"/>
          </w:tcPr>
          <w:p w14:paraId="06D96A7A" w14:textId="77777777" w:rsidR="00183E41" w:rsidRPr="007F7AEB" w:rsidRDefault="00183E41" w:rsidP="00E75BA0">
            <w:pPr>
              <w:pStyle w:val="BodyText"/>
              <w:jc w:val="center"/>
              <w:rPr>
                <w:sz w:val="22"/>
                <w:szCs w:val="22"/>
              </w:rPr>
            </w:pPr>
            <w:r w:rsidRPr="007F7AEB">
              <w:rPr>
                <w:color w:val="000000"/>
                <w:sz w:val="22"/>
                <w:szCs w:val="22"/>
              </w:rPr>
              <w:t>95.5%</w:t>
            </w:r>
          </w:p>
        </w:tc>
        <w:tc>
          <w:tcPr>
            <w:tcW w:w="1980" w:type="dxa"/>
            <w:noWrap/>
            <w:vAlign w:val="center"/>
          </w:tcPr>
          <w:p w14:paraId="5DD68D9B" w14:textId="77777777" w:rsidR="00183E41" w:rsidRPr="007F7AEB" w:rsidRDefault="00183E41" w:rsidP="00E75BA0">
            <w:pPr>
              <w:pStyle w:val="BodyText"/>
              <w:jc w:val="center"/>
              <w:rPr>
                <w:sz w:val="22"/>
                <w:szCs w:val="22"/>
              </w:rPr>
            </w:pPr>
            <w:r w:rsidRPr="007F7AEB">
              <w:rPr>
                <w:color w:val="000000"/>
                <w:sz w:val="22"/>
                <w:szCs w:val="22"/>
              </w:rPr>
              <w:t>95.0%</w:t>
            </w:r>
          </w:p>
        </w:tc>
      </w:tr>
      <w:tr w:rsidR="00183E41" w:rsidRPr="0002187D" w14:paraId="791171C1" w14:textId="77777777" w:rsidTr="00E75BA0">
        <w:trPr>
          <w:cantSplit/>
          <w:trHeight w:val="377"/>
        </w:trPr>
        <w:tc>
          <w:tcPr>
            <w:tcW w:w="4135" w:type="dxa"/>
            <w:noWrap/>
          </w:tcPr>
          <w:p w14:paraId="195A34FA" w14:textId="77777777" w:rsidR="00183E41" w:rsidRPr="007F7AEB" w:rsidRDefault="00183E41" w:rsidP="00E75BA0">
            <w:pPr>
              <w:pStyle w:val="BodyText"/>
              <w:ind w:left="144"/>
              <w:rPr>
                <w:sz w:val="22"/>
                <w:szCs w:val="22"/>
              </w:rPr>
            </w:pPr>
            <w:r w:rsidRPr="007F7AEB">
              <w:rPr>
                <w:sz w:val="22"/>
                <w:szCs w:val="22"/>
              </w:rPr>
              <w:t>Female</w:t>
            </w:r>
          </w:p>
        </w:tc>
        <w:tc>
          <w:tcPr>
            <w:tcW w:w="1980" w:type="dxa"/>
            <w:noWrap/>
            <w:vAlign w:val="center"/>
          </w:tcPr>
          <w:p w14:paraId="34AF2B5F" w14:textId="77777777" w:rsidR="00183E41" w:rsidRPr="007F7AEB" w:rsidRDefault="00183E41" w:rsidP="00E75BA0">
            <w:pPr>
              <w:pStyle w:val="BodyText"/>
              <w:jc w:val="center"/>
              <w:rPr>
                <w:sz w:val="22"/>
                <w:szCs w:val="22"/>
              </w:rPr>
            </w:pPr>
            <w:r w:rsidRPr="007F7AEB">
              <w:rPr>
                <w:color w:val="000000"/>
                <w:sz w:val="22"/>
                <w:szCs w:val="22"/>
              </w:rPr>
              <w:t>4.8%</w:t>
            </w:r>
          </w:p>
        </w:tc>
        <w:tc>
          <w:tcPr>
            <w:tcW w:w="1980" w:type="dxa"/>
            <w:noWrap/>
            <w:vAlign w:val="center"/>
          </w:tcPr>
          <w:p w14:paraId="3F1F991A" w14:textId="77777777" w:rsidR="00183E41" w:rsidRPr="007F7AEB" w:rsidRDefault="00183E41" w:rsidP="00E75BA0">
            <w:pPr>
              <w:pStyle w:val="BodyText"/>
              <w:jc w:val="center"/>
              <w:rPr>
                <w:sz w:val="22"/>
                <w:szCs w:val="22"/>
              </w:rPr>
            </w:pPr>
            <w:r w:rsidRPr="007F7AEB">
              <w:rPr>
                <w:color w:val="000000"/>
                <w:sz w:val="22"/>
                <w:szCs w:val="22"/>
              </w:rPr>
              <w:t>4.5%</w:t>
            </w:r>
          </w:p>
        </w:tc>
        <w:tc>
          <w:tcPr>
            <w:tcW w:w="1980" w:type="dxa"/>
            <w:noWrap/>
            <w:vAlign w:val="center"/>
          </w:tcPr>
          <w:p w14:paraId="3A416020" w14:textId="77777777" w:rsidR="00183E41" w:rsidRPr="007F7AEB" w:rsidRDefault="00183E41" w:rsidP="00E75BA0">
            <w:pPr>
              <w:pStyle w:val="BodyText"/>
              <w:jc w:val="center"/>
              <w:rPr>
                <w:sz w:val="22"/>
                <w:szCs w:val="22"/>
              </w:rPr>
            </w:pPr>
            <w:r w:rsidRPr="007F7AEB">
              <w:rPr>
                <w:color w:val="000000"/>
                <w:sz w:val="22"/>
                <w:szCs w:val="22"/>
              </w:rPr>
              <w:t>5.0%</w:t>
            </w:r>
          </w:p>
        </w:tc>
      </w:tr>
      <w:tr w:rsidR="00183E41" w:rsidRPr="0002187D" w14:paraId="60BD3BB9" w14:textId="77777777" w:rsidTr="00E75BA0">
        <w:trPr>
          <w:cantSplit/>
          <w:trHeight w:val="288"/>
        </w:trPr>
        <w:tc>
          <w:tcPr>
            <w:tcW w:w="4135" w:type="dxa"/>
            <w:noWrap/>
            <w:hideMark/>
          </w:tcPr>
          <w:p w14:paraId="2D45F9EB" w14:textId="77777777" w:rsidR="00183E41" w:rsidRPr="007F7AEB" w:rsidRDefault="00183E41" w:rsidP="00E75BA0">
            <w:pPr>
              <w:pStyle w:val="BodyText"/>
              <w:rPr>
                <w:sz w:val="22"/>
                <w:szCs w:val="22"/>
              </w:rPr>
            </w:pPr>
            <w:r w:rsidRPr="007F7AEB">
              <w:rPr>
                <w:sz w:val="22"/>
                <w:szCs w:val="22"/>
              </w:rPr>
              <w:t>Race</w:t>
            </w:r>
          </w:p>
        </w:tc>
        <w:tc>
          <w:tcPr>
            <w:tcW w:w="1980" w:type="dxa"/>
            <w:noWrap/>
            <w:vAlign w:val="center"/>
          </w:tcPr>
          <w:p w14:paraId="70916923" w14:textId="77777777" w:rsidR="00183E41" w:rsidRPr="007F7AEB" w:rsidRDefault="00183E41" w:rsidP="00E75BA0">
            <w:pPr>
              <w:pStyle w:val="BodyText"/>
              <w:jc w:val="center"/>
              <w:rPr>
                <w:sz w:val="22"/>
                <w:szCs w:val="22"/>
              </w:rPr>
            </w:pPr>
            <w:r>
              <w:rPr>
                <w:sz w:val="22"/>
                <w:szCs w:val="22"/>
              </w:rPr>
              <w:t>*</w:t>
            </w:r>
          </w:p>
        </w:tc>
        <w:tc>
          <w:tcPr>
            <w:tcW w:w="1980" w:type="dxa"/>
            <w:noWrap/>
            <w:vAlign w:val="center"/>
          </w:tcPr>
          <w:p w14:paraId="157B4978" w14:textId="77777777" w:rsidR="00183E41" w:rsidRPr="007F7AEB" w:rsidRDefault="00183E41" w:rsidP="00E75BA0">
            <w:pPr>
              <w:pStyle w:val="BodyText"/>
              <w:jc w:val="center"/>
              <w:rPr>
                <w:sz w:val="22"/>
                <w:szCs w:val="22"/>
              </w:rPr>
            </w:pPr>
            <w:r>
              <w:rPr>
                <w:sz w:val="22"/>
                <w:szCs w:val="22"/>
              </w:rPr>
              <w:t>*</w:t>
            </w:r>
          </w:p>
        </w:tc>
        <w:tc>
          <w:tcPr>
            <w:tcW w:w="1980" w:type="dxa"/>
            <w:noWrap/>
            <w:vAlign w:val="center"/>
          </w:tcPr>
          <w:p w14:paraId="35BE4DD9" w14:textId="77777777" w:rsidR="00183E41" w:rsidRPr="007F7AEB" w:rsidRDefault="00183E41" w:rsidP="00E75BA0">
            <w:pPr>
              <w:pStyle w:val="BodyText"/>
              <w:jc w:val="center"/>
              <w:rPr>
                <w:sz w:val="22"/>
                <w:szCs w:val="22"/>
              </w:rPr>
            </w:pPr>
            <w:r>
              <w:rPr>
                <w:sz w:val="22"/>
                <w:szCs w:val="22"/>
              </w:rPr>
              <w:t>*</w:t>
            </w:r>
          </w:p>
        </w:tc>
      </w:tr>
      <w:tr w:rsidR="00183E41" w:rsidRPr="0002187D" w14:paraId="3EF0F323" w14:textId="77777777" w:rsidTr="00E75BA0">
        <w:trPr>
          <w:cantSplit/>
          <w:trHeight w:val="288"/>
        </w:trPr>
        <w:tc>
          <w:tcPr>
            <w:tcW w:w="4135" w:type="dxa"/>
            <w:noWrap/>
          </w:tcPr>
          <w:p w14:paraId="56A90365" w14:textId="77777777" w:rsidR="00183E41" w:rsidRPr="007F7AEB" w:rsidRDefault="00183E41" w:rsidP="00E75BA0">
            <w:pPr>
              <w:pStyle w:val="BodyText"/>
              <w:ind w:left="144"/>
              <w:rPr>
                <w:sz w:val="22"/>
                <w:szCs w:val="22"/>
              </w:rPr>
            </w:pPr>
            <w:r w:rsidRPr="007F7AEB">
              <w:rPr>
                <w:sz w:val="22"/>
                <w:szCs w:val="22"/>
              </w:rPr>
              <w:t>White</w:t>
            </w:r>
          </w:p>
        </w:tc>
        <w:tc>
          <w:tcPr>
            <w:tcW w:w="1980" w:type="dxa"/>
            <w:noWrap/>
            <w:vAlign w:val="center"/>
          </w:tcPr>
          <w:p w14:paraId="2CF415B4" w14:textId="77777777" w:rsidR="00183E41" w:rsidRPr="007F7AEB" w:rsidRDefault="00183E41" w:rsidP="00E75BA0">
            <w:pPr>
              <w:pStyle w:val="BodyText"/>
              <w:jc w:val="center"/>
              <w:rPr>
                <w:sz w:val="22"/>
                <w:szCs w:val="22"/>
              </w:rPr>
            </w:pPr>
            <w:r w:rsidRPr="007F7AEB">
              <w:rPr>
                <w:color w:val="000000"/>
                <w:sz w:val="22"/>
                <w:szCs w:val="22"/>
              </w:rPr>
              <w:t>74.8%</w:t>
            </w:r>
          </w:p>
        </w:tc>
        <w:tc>
          <w:tcPr>
            <w:tcW w:w="1980" w:type="dxa"/>
            <w:noWrap/>
            <w:vAlign w:val="center"/>
          </w:tcPr>
          <w:p w14:paraId="2AF17654" w14:textId="77777777" w:rsidR="00183E41" w:rsidRPr="007F7AEB" w:rsidRDefault="00183E41" w:rsidP="00E75BA0">
            <w:pPr>
              <w:pStyle w:val="BodyText"/>
              <w:jc w:val="center"/>
              <w:rPr>
                <w:sz w:val="22"/>
                <w:szCs w:val="22"/>
              </w:rPr>
            </w:pPr>
            <w:r w:rsidRPr="007F7AEB">
              <w:rPr>
                <w:color w:val="000000"/>
                <w:sz w:val="22"/>
                <w:szCs w:val="22"/>
              </w:rPr>
              <w:t>76.9%</w:t>
            </w:r>
          </w:p>
        </w:tc>
        <w:tc>
          <w:tcPr>
            <w:tcW w:w="1980" w:type="dxa"/>
            <w:noWrap/>
            <w:vAlign w:val="center"/>
          </w:tcPr>
          <w:p w14:paraId="0C55497D" w14:textId="77777777" w:rsidR="00183E41" w:rsidRPr="007F7AEB" w:rsidRDefault="00183E41" w:rsidP="00E75BA0">
            <w:pPr>
              <w:pStyle w:val="BodyText"/>
              <w:jc w:val="center"/>
              <w:rPr>
                <w:sz w:val="22"/>
                <w:szCs w:val="22"/>
              </w:rPr>
            </w:pPr>
            <w:r w:rsidRPr="007F7AEB">
              <w:rPr>
                <w:color w:val="000000"/>
                <w:sz w:val="22"/>
                <w:szCs w:val="22"/>
              </w:rPr>
              <w:t>73.4%</w:t>
            </w:r>
          </w:p>
        </w:tc>
      </w:tr>
      <w:tr w:rsidR="00183E41" w:rsidRPr="0002187D" w14:paraId="28D3D518" w14:textId="77777777" w:rsidTr="00E75BA0">
        <w:trPr>
          <w:cantSplit/>
          <w:trHeight w:val="288"/>
        </w:trPr>
        <w:tc>
          <w:tcPr>
            <w:tcW w:w="4135" w:type="dxa"/>
            <w:noWrap/>
          </w:tcPr>
          <w:p w14:paraId="3CAC5E6E" w14:textId="77777777" w:rsidR="00183E41" w:rsidRPr="007F7AEB" w:rsidRDefault="00183E41" w:rsidP="00E75BA0">
            <w:pPr>
              <w:pStyle w:val="BodyText"/>
              <w:ind w:left="144"/>
              <w:rPr>
                <w:sz w:val="22"/>
                <w:szCs w:val="22"/>
              </w:rPr>
            </w:pPr>
            <w:r w:rsidRPr="007F7AEB">
              <w:rPr>
                <w:sz w:val="22"/>
                <w:szCs w:val="22"/>
              </w:rPr>
              <w:t>Non-white</w:t>
            </w:r>
          </w:p>
        </w:tc>
        <w:tc>
          <w:tcPr>
            <w:tcW w:w="1980" w:type="dxa"/>
            <w:noWrap/>
            <w:vAlign w:val="center"/>
          </w:tcPr>
          <w:p w14:paraId="3BAF7E33" w14:textId="77777777" w:rsidR="00183E41" w:rsidRPr="007F7AEB" w:rsidRDefault="00183E41" w:rsidP="00E75BA0">
            <w:pPr>
              <w:pStyle w:val="BodyText"/>
              <w:jc w:val="center"/>
              <w:rPr>
                <w:sz w:val="22"/>
                <w:szCs w:val="22"/>
              </w:rPr>
            </w:pPr>
            <w:r w:rsidRPr="007F7AEB">
              <w:rPr>
                <w:color w:val="000000"/>
                <w:sz w:val="22"/>
                <w:szCs w:val="22"/>
              </w:rPr>
              <w:t>25.2%</w:t>
            </w:r>
          </w:p>
        </w:tc>
        <w:tc>
          <w:tcPr>
            <w:tcW w:w="1980" w:type="dxa"/>
            <w:noWrap/>
            <w:vAlign w:val="center"/>
          </w:tcPr>
          <w:p w14:paraId="56893501" w14:textId="77777777" w:rsidR="00183E41" w:rsidRPr="007F7AEB" w:rsidRDefault="00183E41" w:rsidP="00E75BA0">
            <w:pPr>
              <w:pStyle w:val="BodyText"/>
              <w:jc w:val="center"/>
              <w:rPr>
                <w:sz w:val="22"/>
                <w:szCs w:val="22"/>
              </w:rPr>
            </w:pPr>
            <w:r w:rsidRPr="007F7AEB">
              <w:rPr>
                <w:color w:val="000000"/>
                <w:sz w:val="22"/>
                <w:szCs w:val="22"/>
              </w:rPr>
              <w:t>23.1%</w:t>
            </w:r>
          </w:p>
        </w:tc>
        <w:tc>
          <w:tcPr>
            <w:tcW w:w="1980" w:type="dxa"/>
            <w:noWrap/>
            <w:vAlign w:val="center"/>
          </w:tcPr>
          <w:p w14:paraId="68C35654" w14:textId="77777777" w:rsidR="00183E41" w:rsidRPr="007F7AEB" w:rsidRDefault="00183E41" w:rsidP="00E75BA0">
            <w:pPr>
              <w:pStyle w:val="BodyText"/>
              <w:jc w:val="center"/>
              <w:rPr>
                <w:sz w:val="22"/>
                <w:szCs w:val="22"/>
              </w:rPr>
            </w:pPr>
            <w:r w:rsidRPr="007F7AEB">
              <w:rPr>
                <w:color w:val="000000"/>
                <w:sz w:val="22"/>
                <w:szCs w:val="22"/>
              </w:rPr>
              <w:t>26.6%</w:t>
            </w:r>
          </w:p>
        </w:tc>
      </w:tr>
      <w:tr w:rsidR="00183E41" w:rsidRPr="0002187D" w14:paraId="70BE51E1" w14:textId="77777777" w:rsidTr="00E75BA0">
        <w:trPr>
          <w:cantSplit/>
          <w:trHeight w:val="288"/>
        </w:trPr>
        <w:tc>
          <w:tcPr>
            <w:tcW w:w="4135" w:type="dxa"/>
            <w:noWrap/>
          </w:tcPr>
          <w:p w14:paraId="61A2C7DE" w14:textId="77777777" w:rsidR="00183E41" w:rsidRPr="007F7AEB" w:rsidRDefault="00183E41" w:rsidP="00E75BA0">
            <w:pPr>
              <w:pStyle w:val="BodyText"/>
              <w:rPr>
                <w:sz w:val="22"/>
                <w:szCs w:val="22"/>
              </w:rPr>
            </w:pPr>
            <w:r w:rsidRPr="007F7AEB">
              <w:rPr>
                <w:sz w:val="22"/>
                <w:szCs w:val="22"/>
              </w:rPr>
              <w:t>Co-morbidities</w:t>
            </w:r>
          </w:p>
        </w:tc>
        <w:tc>
          <w:tcPr>
            <w:tcW w:w="1980" w:type="dxa"/>
            <w:noWrap/>
            <w:vAlign w:val="center"/>
          </w:tcPr>
          <w:p w14:paraId="3CDA7ACC" w14:textId="77777777" w:rsidR="00183E41" w:rsidRPr="007F7AEB" w:rsidRDefault="00183E41" w:rsidP="00E75BA0">
            <w:pPr>
              <w:pStyle w:val="BodyText"/>
              <w:jc w:val="center"/>
              <w:rPr>
                <w:sz w:val="22"/>
                <w:szCs w:val="22"/>
              </w:rPr>
            </w:pPr>
            <w:r>
              <w:rPr>
                <w:sz w:val="22"/>
                <w:szCs w:val="22"/>
              </w:rPr>
              <w:t>*</w:t>
            </w:r>
          </w:p>
        </w:tc>
        <w:tc>
          <w:tcPr>
            <w:tcW w:w="1980" w:type="dxa"/>
            <w:noWrap/>
            <w:vAlign w:val="center"/>
          </w:tcPr>
          <w:p w14:paraId="24A5B436" w14:textId="77777777" w:rsidR="00183E41" w:rsidRPr="007F7AEB" w:rsidRDefault="00183E41" w:rsidP="00E75BA0">
            <w:pPr>
              <w:pStyle w:val="BodyText"/>
              <w:jc w:val="center"/>
              <w:rPr>
                <w:sz w:val="22"/>
                <w:szCs w:val="22"/>
              </w:rPr>
            </w:pPr>
            <w:r>
              <w:rPr>
                <w:sz w:val="22"/>
                <w:szCs w:val="22"/>
              </w:rPr>
              <w:t>*</w:t>
            </w:r>
          </w:p>
        </w:tc>
        <w:tc>
          <w:tcPr>
            <w:tcW w:w="1980" w:type="dxa"/>
            <w:noWrap/>
            <w:vAlign w:val="center"/>
          </w:tcPr>
          <w:p w14:paraId="03FF35C4" w14:textId="77777777" w:rsidR="00183E41" w:rsidRPr="007F7AEB" w:rsidRDefault="00183E41" w:rsidP="00E75BA0">
            <w:pPr>
              <w:pStyle w:val="BodyText"/>
              <w:jc w:val="center"/>
              <w:rPr>
                <w:sz w:val="22"/>
                <w:szCs w:val="22"/>
              </w:rPr>
            </w:pPr>
            <w:r>
              <w:rPr>
                <w:sz w:val="22"/>
                <w:szCs w:val="22"/>
              </w:rPr>
              <w:t>*</w:t>
            </w:r>
          </w:p>
        </w:tc>
      </w:tr>
      <w:tr w:rsidR="00183E41" w:rsidRPr="0002187D" w14:paraId="4E498FBE" w14:textId="77777777" w:rsidTr="00E75BA0">
        <w:trPr>
          <w:cantSplit/>
          <w:trHeight w:val="288"/>
        </w:trPr>
        <w:tc>
          <w:tcPr>
            <w:tcW w:w="4135" w:type="dxa"/>
            <w:noWrap/>
            <w:hideMark/>
          </w:tcPr>
          <w:p w14:paraId="50580EFC" w14:textId="77777777" w:rsidR="00183E41" w:rsidRPr="007F7AEB" w:rsidRDefault="00183E41" w:rsidP="00E75BA0">
            <w:pPr>
              <w:pStyle w:val="BodyText"/>
              <w:ind w:left="144"/>
              <w:rPr>
                <w:sz w:val="22"/>
                <w:szCs w:val="22"/>
              </w:rPr>
            </w:pPr>
            <w:proofErr w:type="spellStart"/>
            <w:r w:rsidRPr="007F7AEB">
              <w:rPr>
                <w:sz w:val="22"/>
                <w:szCs w:val="22"/>
              </w:rPr>
              <w:t>Elixhauser</w:t>
            </w:r>
            <w:proofErr w:type="spellEnd"/>
            <w:r w:rsidRPr="007F7AEB">
              <w:rPr>
                <w:sz w:val="22"/>
                <w:szCs w:val="22"/>
              </w:rPr>
              <w:t xml:space="preserve"> index IQR</w:t>
            </w:r>
            <w:r w:rsidRPr="007F7AEB">
              <w:rPr>
                <w:sz w:val="22"/>
                <w:szCs w:val="22"/>
                <w:vertAlign w:val="superscript"/>
              </w:rPr>
              <w:t>1</w:t>
            </w:r>
          </w:p>
        </w:tc>
        <w:tc>
          <w:tcPr>
            <w:tcW w:w="1980" w:type="dxa"/>
            <w:noWrap/>
            <w:vAlign w:val="center"/>
          </w:tcPr>
          <w:p w14:paraId="5D43C943" w14:textId="77777777" w:rsidR="00183E41" w:rsidRPr="007F7AEB" w:rsidRDefault="00183E41" w:rsidP="00E75BA0">
            <w:pPr>
              <w:jc w:val="center"/>
              <w:rPr>
                <w:rFonts w:ascii="Arial" w:hAnsi="Arial" w:cs="Arial"/>
                <w:color w:val="000000"/>
              </w:rPr>
            </w:pPr>
            <w:r w:rsidRPr="007F7AEB">
              <w:rPr>
                <w:rFonts w:ascii="Arial" w:hAnsi="Arial" w:cs="Arial"/>
                <w:color w:val="000000"/>
              </w:rPr>
              <w:t xml:space="preserve">6 </w:t>
            </w:r>
            <w:r>
              <w:rPr>
                <w:rFonts w:ascii="Arial" w:hAnsi="Arial" w:cs="Arial"/>
                <w:color w:val="000000"/>
              </w:rPr>
              <w:t>(</w:t>
            </w:r>
            <w:r w:rsidRPr="007F7AEB">
              <w:rPr>
                <w:rFonts w:ascii="Arial" w:hAnsi="Arial" w:cs="Arial"/>
                <w:color w:val="000000"/>
              </w:rPr>
              <w:t>1-11</w:t>
            </w:r>
            <w:r>
              <w:rPr>
                <w:rFonts w:ascii="Arial" w:hAnsi="Arial" w:cs="Arial"/>
                <w:color w:val="000000"/>
              </w:rPr>
              <w:t>)</w:t>
            </w:r>
          </w:p>
        </w:tc>
        <w:tc>
          <w:tcPr>
            <w:tcW w:w="1980" w:type="dxa"/>
            <w:noWrap/>
            <w:vAlign w:val="center"/>
          </w:tcPr>
          <w:p w14:paraId="0C8D08E1" w14:textId="77777777" w:rsidR="00183E41" w:rsidRPr="007F7AEB" w:rsidRDefault="00183E41" w:rsidP="00E75BA0">
            <w:pPr>
              <w:jc w:val="center"/>
              <w:rPr>
                <w:rFonts w:ascii="Arial" w:hAnsi="Arial" w:cs="Arial"/>
                <w:color w:val="000000"/>
              </w:rPr>
            </w:pPr>
            <w:r w:rsidRPr="007F7AEB">
              <w:rPr>
                <w:rFonts w:ascii="Arial" w:hAnsi="Arial" w:cs="Arial"/>
                <w:color w:val="000000"/>
              </w:rPr>
              <w:t xml:space="preserve">6 </w:t>
            </w:r>
            <w:r>
              <w:rPr>
                <w:rFonts w:ascii="Arial" w:hAnsi="Arial" w:cs="Arial"/>
                <w:color w:val="000000"/>
              </w:rPr>
              <w:t>(</w:t>
            </w:r>
            <w:r w:rsidRPr="007F7AEB">
              <w:rPr>
                <w:rFonts w:ascii="Arial" w:hAnsi="Arial" w:cs="Arial"/>
                <w:color w:val="000000"/>
              </w:rPr>
              <w:t>2-12</w:t>
            </w:r>
            <w:r>
              <w:rPr>
                <w:rFonts w:ascii="Arial" w:hAnsi="Arial" w:cs="Arial"/>
                <w:color w:val="000000"/>
              </w:rPr>
              <w:t>)</w:t>
            </w:r>
          </w:p>
        </w:tc>
        <w:tc>
          <w:tcPr>
            <w:tcW w:w="1980" w:type="dxa"/>
            <w:noWrap/>
            <w:vAlign w:val="center"/>
          </w:tcPr>
          <w:p w14:paraId="199A44AE" w14:textId="77777777" w:rsidR="00183E41" w:rsidRPr="007F7AEB" w:rsidRDefault="00183E41" w:rsidP="00E75BA0">
            <w:pPr>
              <w:jc w:val="center"/>
              <w:rPr>
                <w:rFonts w:ascii="Arial" w:hAnsi="Arial" w:cs="Arial"/>
                <w:color w:val="000000"/>
              </w:rPr>
            </w:pPr>
            <w:r w:rsidRPr="007F7AEB">
              <w:rPr>
                <w:rFonts w:ascii="Arial" w:hAnsi="Arial" w:cs="Arial"/>
                <w:color w:val="000000"/>
              </w:rPr>
              <w:t xml:space="preserve">5 </w:t>
            </w:r>
            <w:r>
              <w:rPr>
                <w:rFonts w:ascii="Arial" w:hAnsi="Arial" w:cs="Arial"/>
                <w:color w:val="000000"/>
              </w:rPr>
              <w:t>(</w:t>
            </w:r>
            <w:r w:rsidRPr="007F7AEB">
              <w:rPr>
                <w:rFonts w:ascii="Arial" w:hAnsi="Arial" w:cs="Arial"/>
                <w:color w:val="000000"/>
              </w:rPr>
              <w:t>1-11</w:t>
            </w:r>
            <w:r>
              <w:rPr>
                <w:rFonts w:ascii="Arial" w:hAnsi="Arial" w:cs="Arial"/>
                <w:color w:val="000000"/>
              </w:rPr>
              <w:t>)</w:t>
            </w:r>
          </w:p>
        </w:tc>
      </w:tr>
      <w:tr w:rsidR="00183E41" w:rsidRPr="0002187D" w14:paraId="35E80E6F" w14:textId="77777777" w:rsidTr="00E75BA0">
        <w:trPr>
          <w:cantSplit/>
          <w:trHeight w:val="288"/>
        </w:trPr>
        <w:tc>
          <w:tcPr>
            <w:tcW w:w="4135" w:type="dxa"/>
            <w:noWrap/>
          </w:tcPr>
          <w:p w14:paraId="771C3F44" w14:textId="77777777" w:rsidR="00183E41" w:rsidRPr="007F7AEB" w:rsidRDefault="00183E41" w:rsidP="00E75BA0">
            <w:pPr>
              <w:pStyle w:val="BodyText"/>
              <w:ind w:left="288"/>
              <w:rPr>
                <w:sz w:val="22"/>
                <w:szCs w:val="22"/>
              </w:rPr>
            </w:pPr>
            <w:r w:rsidRPr="007F7AEB">
              <w:rPr>
                <w:color w:val="000000"/>
                <w:sz w:val="22"/>
                <w:szCs w:val="22"/>
              </w:rPr>
              <w:t>Acquired immune deficiency syndrome</w:t>
            </w:r>
          </w:p>
        </w:tc>
        <w:tc>
          <w:tcPr>
            <w:tcW w:w="1980" w:type="dxa"/>
            <w:noWrap/>
            <w:vAlign w:val="center"/>
          </w:tcPr>
          <w:p w14:paraId="11B40C57" w14:textId="77777777" w:rsidR="00183E41" w:rsidRPr="007F7AEB" w:rsidRDefault="00183E41" w:rsidP="00E75BA0">
            <w:pPr>
              <w:pStyle w:val="BodyText"/>
              <w:jc w:val="center"/>
              <w:rPr>
                <w:sz w:val="22"/>
                <w:szCs w:val="22"/>
              </w:rPr>
            </w:pPr>
            <w:r w:rsidRPr="007F7AEB">
              <w:rPr>
                <w:color w:val="000000"/>
                <w:sz w:val="22"/>
                <w:szCs w:val="22"/>
              </w:rPr>
              <w:t>0.0%</w:t>
            </w:r>
          </w:p>
        </w:tc>
        <w:tc>
          <w:tcPr>
            <w:tcW w:w="1980" w:type="dxa"/>
            <w:noWrap/>
            <w:vAlign w:val="center"/>
          </w:tcPr>
          <w:p w14:paraId="434A2A2A" w14:textId="77777777" w:rsidR="00183E41" w:rsidRPr="007F7AEB" w:rsidRDefault="00183E41" w:rsidP="00E75BA0">
            <w:pPr>
              <w:pStyle w:val="BodyText"/>
              <w:jc w:val="center"/>
              <w:rPr>
                <w:sz w:val="22"/>
                <w:szCs w:val="22"/>
              </w:rPr>
            </w:pPr>
            <w:r w:rsidRPr="007F7AEB">
              <w:rPr>
                <w:color w:val="000000"/>
                <w:sz w:val="22"/>
                <w:szCs w:val="22"/>
              </w:rPr>
              <w:t>0.0%</w:t>
            </w:r>
          </w:p>
        </w:tc>
        <w:tc>
          <w:tcPr>
            <w:tcW w:w="1980" w:type="dxa"/>
            <w:noWrap/>
            <w:vAlign w:val="center"/>
          </w:tcPr>
          <w:p w14:paraId="0F406ED1" w14:textId="77777777" w:rsidR="00183E41" w:rsidRPr="007F7AEB" w:rsidRDefault="00183E41" w:rsidP="00E75BA0">
            <w:pPr>
              <w:pStyle w:val="BodyText"/>
              <w:jc w:val="center"/>
              <w:rPr>
                <w:sz w:val="22"/>
                <w:szCs w:val="22"/>
              </w:rPr>
            </w:pPr>
            <w:r w:rsidRPr="007F7AEB">
              <w:rPr>
                <w:color w:val="000000"/>
                <w:sz w:val="22"/>
                <w:szCs w:val="22"/>
              </w:rPr>
              <w:t>0.0%</w:t>
            </w:r>
          </w:p>
        </w:tc>
      </w:tr>
      <w:tr w:rsidR="00183E41" w:rsidRPr="0002187D" w14:paraId="7E3D7969" w14:textId="77777777" w:rsidTr="00E75BA0">
        <w:trPr>
          <w:cantSplit/>
          <w:trHeight w:val="288"/>
        </w:trPr>
        <w:tc>
          <w:tcPr>
            <w:tcW w:w="4135" w:type="dxa"/>
            <w:noWrap/>
          </w:tcPr>
          <w:p w14:paraId="227E8F3E" w14:textId="77777777" w:rsidR="00183E41" w:rsidRPr="007F7AEB" w:rsidRDefault="00183E41" w:rsidP="00E75BA0">
            <w:pPr>
              <w:pStyle w:val="BodyText"/>
              <w:ind w:left="288"/>
              <w:rPr>
                <w:sz w:val="22"/>
                <w:szCs w:val="22"/>
              </w:rPr>
            </w:pPr>
            <w:r w:rsidRPr="007F7AEB">
              <w:rPr>
                <w:color w:val="000000"/>
                <w:sz w:val="22"/>
                <w:szCs w:val="22"/>
              </w:rPr>
              <w:t>Alcohol abuse</w:t>
            </w:r>
          </w:p>
        </w:tc>
        <w:tc>
          <w:tcPr>
            <w:tcW w:w="1980" w:type="dxa"/>
            <w:noWrap/>
            <w:vAlign w:val="center"/>
          </w:tcPr>
          <w:p w14:paraId="6C4A0BF9" w14:textId="77777777" w:rsidR="00183E41" w:rsidRPr="007F7AEB" w:rsidRDefault="00183E41" w:rsidP="00E75BA0">
            <w:pPr>
              <w:pStyle w:val="BodyText"/>
              <w:jc w:val="center"/>
              <w:rPr>
                <w:sz w:val="22"/>
                <w:szCs w:val="22"/>
              </w:rPr>
            </w:pPr>
            <w:r w:rsidRPr="007F7AEB">
              <w:rPr>
                <w:color w:val="000000"/>
                <w:sz w:val="22"/>
                <w:szCs w:val="22"/>
              </w:rPr>
              <w:t>5.7%</w:t>
            </w:r>
          </w:p>
        </w:tc>
        <w:tc>
          <w:tcPr>
            <w:tcW w:w="1980" w:type="dxa"/>
            <w:noWrap/>
            <w:vAlign w:val="center"/>
          </w:tcPr>
          <w:p w14:paraId="6FBA301D" w14:textId="77777777" w:rsidR="00183E41" w:rsidRPr="007F7AEB" w:rsidRDefault="00183E41" w:rsidP="00E75BA0">
            <w:pPr>
              <w:pStyle w:val="BodyText"/>
              <w:jc w:val="center"/>
              <w:rPr>
                <w:sz w:val="22"/>
                <w:szCs w:val="22"/>
              </w:rPr>
            </w:pPr>
            <w:r w:rsidRPr="007F7AEB">
              <w:rPr>
                <w:color w:val="000000"/>
                <w:sz w:val="22"/>
                <w:szCs w:val="22"/>
              </w:rPr>
              <w:t>5.7%</w:t>
            </w:r>
          </w:p>
        </w:tc>
        <w:tc>
          <w:tcPr>
            <w:tcW w:w="1980" w:type="dxa"/>
            <w:noWrap/>
            <w:vAlign w:val="center"/>
          </w:tcPr>
          <w:p w14:paraId="54D4AEA9" w14:textId="77777777" w:rsidR="00183E41" w:rsidRPr="007F7AEB" w:rsidRDefault="00183E41" w:rsidP="00E75BA0">
            <w:pPr>
              <w:pStyle w:val="BodyText"/>
              <w:jc w:val="center"/>
              <w:rPr>
                <w:sz w:val="22"/>
                <w:szCs w:val="22"/>
              </w:rPr>
            </w:pPr>
            <w:r w:rsidRPr="007F7AEB">
              <w:rPr>
                <w:color w:val="000000"/>
                <w:sz w:val="22"/>
                <w:szCs w:val="22"/>
              </w:rPr>
              <w:t>5.8%</w:t>
            </w:r>
          </w:p>
        </w:tc>
      </w:tr>
      <w:tr w:rsidR="00183E41" w:rsidRPr="0002187D" w14:paraId="3CB4A001" w14:textId="77777777" w:rsidTr="00E75BA0">
        <w:trPr>
          <w:cantSplit/>
          <w:trHeight w:val="288"/>
        </w:trPr>
        <w:tc>
          <w:tcPr>
            <w:tcW w:w="4135" w:type="dxa"/>
            <w:noWrap/>
          </w:tcPr>
          <w:p w14:paraId="1767A031" w14:textId="77777777" w:rsidR="00183E41" w:rsidRPr="007F7AEB" w:rsidRDefault="00183E41" w:rsidP="00E75BA0">
            <w:pPr>
              <w:pStyle w:val="BodyText"/>
              <w:ind w:left="288"/>
              <w:rPr>
                <w:sz w:val="22"/>
                <w:szCs w:val="22"/>
              </w:rPr>
            </w:pPr>
            <w:r w:rsidRPr="007F7AEB">
              <w:rPr>
                <w:color w:val="000000"/>
                <w:sz w:val="22"/>
                <w:szCs w:val="22"/>
              </w:rPr>
              <w:t>Deficiency anemia</w:t>
            </w:r>
          </w:p>
        </w:tc>
        <w:tc>
          <w:tcPr>
            <w:tcW w:w="1980" w:type="dxa"/>
            <w:noWrap/>
            <w:vAlign w:val="center"/>
          </w:tcPr>
          <w:p w14:paraId="7D7932C4" w14:textId="77777777" w:rsidR="00183E41" w:rsidRPr="007F7AEB" w:rsidRDefault="00183E41" w:rsidP="00E75BA0">
            <w:pPr>
              <w:pStyle w:val="BodyText"/>
              <w:jc w:val="center"/>
              <w:rPr>
                <w:sz w:val="22"/>
                <w:szCs w:val="22"/>
              </w:rPr>
            </w:pPr>
            <w:r w:rsidRPr="007F7AEB">
              <w:rPr>
                <w:color w:val="000000"/>
                <w:sz w:val="22"/>
                <w:szCs w:val="22"/>
              </w:rPr>
              <w:t>27.7%</w:t>
            </w:r>
          </w:p>
        </w:tc>
        <w:tc>
          <w:tcPr>
            <w:tcW w:w="1980" w:type="dxa"/>
            <w:noWrap/>
            <w:vAlign w:val="center"/>
          </w:tcPr>
          <w:p w14:paraId="2D9D8789" w14:textId="77777777" w:rsidR="00183E41" w:rsidRPr="007F7AEB" w:rsidRDefault="00183E41" w:rsidP="00E75BA0">
            <w:pPr>
              <w:pStyle w:val="BodyText"/>
              <w:jc w:val="center"/>
              <w:rPr>
                <w:sz w:val="22"/>
                <w:szCs w:val="22"/>
              </w:rPr>
            </w:pPr>
            <w:r w:rsidRPr="007F7AEB">
              <w:rPr>
                <w:color w:val="000000"/>
                <w:sz w:val="22"/>
                <w:szCs w:val="22"/>
              </w:rPr>
              <w:t>27.9%</w:t>
            </w:r>
          </w:p>
        </w:tc>
        <w:tc>
          <w:tcPr>
            <w:tcW w:w="1980" w:type="dxa"/>
            <w:noWrap/>
            <w:vAlign w:val="center"/>
          </w:tcPr>
          <w:p w14:paraId="0F654FD7" w14:textId="77777777" w:rsidR="00183E41" w:rsidRPr="007F7AEB" w:rsidRDefault="00183E41" w:rsidP="00E75BA0">
            <w:pPr>
              <w:pStyle w:val="BodyText"/>
              <w:jc w:val="center"/>
              <w:rPr>
                <w:sz w:val="22"/>
                <w:szCs w:val="22"/>
              </w:rPr>
            </w:pPr>
            <w:r w:rsidRPr="007F7AEB">
              <w:rPr>
                <w:color w:val="000000"/>
                <w:sz w:val="22"/>
                <w:szCs w:val="22"/>
              </w:rPr>
              <w:t>27.5%</w:t>
            </w:r>
          </w:p>
        </w:tc>
      </w:tr>
      <w:tr w:rsidR="00183E41" w:rsidRPr="0002187D" w14:paraId="32E5282B" w14:textId="77777777" w:rsidTr="00E75BA0">
        <w:trPr>
          <w:cantSplit/>
          <w:trHeight w:val="288"/>
        </w:trPr>
        <w:tc>
          <w:tcPr>
            <w:tcW w:w="4135" w:type="dxa"/>
            <w:noWrap/>
          </w:tcPr>
          <w:p w14:paraId="786B2957" w14:textId="77777777" w:rsidR="00183E41" w:rsidRPr="007F7AEB" w:rsidRDefault="00183E41" w:rsidP="00E75BA0">
            <w:pPr>
              <w:pStyle w:val="BodyText"/>
              <w:ind w:left="288"/>
              <w:rPr>
                <w:sz w:val="22"/>
                <w:szCs w:val="22"/>
              </w:rPr>
            </w:pPr>
            <w:r w:rsidRPr="007F7AEB">
              <w:rPr>
                <w:color w:val="000000"/>
                <w:sz w:val="22"/>
                <w:szCs w:val="22"/>
              </w:rPr>
              <w:t>Cardiac arrhythmias</w:t>
            </w:r>
          </w:p>
        </w:tc>
        <w:tc>
          <w:tcPr>
            <w:tcW w:w="1980" w:type="dxa"/>
            <w:noWrap/>
            <w:vAlign w:val="center"/>
          </w:tcPr>
          <w:p w14:paraId="421DECC9" w14:textId="77777777" w:rsidR="00183E41" w:rsidRPr="007F7AEB" w:rsidRDefault="00183E41" w:rsidP="00E75BA0">
            <w:pPr>
              <w:pStyle w:val="BodyText"/>
              <w:jc w:val="center"/>
              <w:rPr>
                <w:sz w:val="22"/>
                <w:szCs w:val="22"/>
              </w:rPr>
            </w:pPr>
            <w:r w:rsidRPr="007F7AEB">
              <w:rPr>
                <w:color w:val="000000"/>
                <w:sz w:val="22"/>
                <w:szCs w:val="22"/>
              </w:rPr>
              <w:t>25.6%</w:t>
            </w:r>
          </w:p>
        </w:tc>
        <w:tc>
          <w:tcPr>
            <w:tcW w:w="1980" w:type="dxa"/>
            <w:noWrap/>
            <w:vAlign w:val="center"/>
          </w:tcPr>
          <w:p w14:paraId="1111B05E" w14:textId="77777777" w:rsidR="00183E41" w:rsidRPr="007F7AEB" w:rsidRDefault="00183E41" w:rsidP="00E75BA0">
            <w:pPr>
              <w:pStyle w:val="BodyText"/>
              <w:jc w:val="center"/>
              <w:rPr>
                <w:sz w:val="22"/>
                <w:szCs w:val="22"/>
              </w:rPr>
            </w:pPr>
            <w:r w:rsidRPr="007F7AEB">
              <w:rPr>
                <w:color w:val="000000"/>
                <w:sz w:val="22"/>
                <w:szCs w:val="22"/>
              </w:rPr>
              <w:t>25.2%</w:t>
            </w:r>
          </w:p>
        </w:tc>
        <w:tc>
          <w:tcPr>
            <w:tcW w:w="1980" w:type="dxa"/>
            <w:noWrap/>
            <w:vAlign w:val="center"/>
          </w:tcPr>
          <w:p w14:paraId="6EA7B55A" w14:textId="77777777" w:rsidR="00183E41" w:rsidRPr="007F7AEB" w:rsidRDefault="00183E41" w:rsidP="00E75BA0">
            <w:pPr>
              <w:pStyle w:val="BodyText"/>
              <w:jc w:val="center"/>
              <w:rPr>
                <w:sz w:val="22"/>
                <w:szCs w:val="22"/>
              </w:rPr>
            </w:pPr>
            <w:r w:rsidRPr="007F7AEB">
              <w:rPr>
                <w:color w:val="000000"/>
                <w:sz w:val="22"/>
                <w:szCs w:val="22"/>
              </w:rPr>
              <w:t>26.0%</w:t>
            </w:r>
          </w:p>
        </w:tc>
      </w:tr>
      <w:tr w:rsidR="00183E41" w:rsidRPr="0002187D" w14:paraId="50283796" w14:textId="77777777" w:rsidTr="00E75BA0">
        <w:trPr>
          <w:cantSplit/>
          <w:trHeight w:val="288"/>
        </w:trPr>
        <w:tc>
          <w:tcPr>
            <w:tcW w:w="4135" w:type="dxa"/>
            <w:noWrap/>
          </w:tcPr>
          <w:p w14:paraId="1C42D7CF" w14:textId="77777777" w:rsidR="00183E41" w:rsidRPr="007F7AEB" w:rsidRDefault="00183E41" w:rsidP="00E75BA0">
            <w:pPr>
              <w:pStyle w:val="BodyText"/>
              <w:ind w:left="288"/>
              <w:rPr>
                <w:sz w:val="22"/>
                <w:szCs w:val="22"/>
              </w:rPr>
            </w:pPr>
            <w:r w:rsidRPr="007F7AEB">
              <w:rPr>
                <w:color w:val="000000"/>
                <w:sz w:val="22"/>
                <w:szCs w:val="22"/>
              </w:rPr>
              <w:t>Rheumatoid arthritis/collagen vascular diseases</w:t>
            </w:r>
          </w:p>
        </w:tc>
        <w:tc>
          <w:tcPr>
            <w:tcW w:w="1980" w:type="dxa"/>
            <w:noWrap/>
            <w:vAlign w:val="center"/>
          </w:tcPr>
          <w:p w14:paraId="4B5DE00A" w14:textId="77777777" w:rsidR="00183E41" w:rsidRPr="007F7AEB" w:rsidRDefault="00183E41" w:rsidP="00E75BA0">
            <w:pPr>
              <w:pStyle w:val="BodyText"/>
              <w:jc w:val="center"/>
              <w:rPr>
                <w:sz w:val="22"/>
                <w:szCs w:val="22"/>
              </w:rPr>
            </w:pPr>
            <w:r w:rsidRPr="007F7AEB">
              <w:rPr>
                <w:color w:val="000000"/>
                <w:sz w:val="22"/>
                <w:szCs w:val="22"/>
              </w:rPr>
              <w:t>3.1%</w:t>
            </w:r>
          </w:p>
        </w:tc>
        <w:tc>
          <w:tcPr>
            <w:tcW w:w="1980" w:type="dxa"/>
            <w:noWrap/>
            <w:vAlign w:val="center"/>
          </w:tcPr>
          <w:p w14:paraId="6B68B02E" w14:textId="77777777" w:rsidR="00183E41" w:rsidRPr="007F7AEB" w:rsidRDefault="00183E41" w:rsidP="00E75BA0">
            <w:pPr>
              <w:pStyle w:val="BodyText"/>
              <w:jc w:val="center"/>
              <w:rPr>
                <w:sz w:val="22"/>
                <w:szCs w:val="22"/>
              </w:rPr>
            </w:pPr>
            <w:r w:rsidRPr="007F7AEB">
              <w:rPr>
                <w:color w:val="000000"/>
                <w:sz w:val="22"/>
                <w:szCs w:val="22"/>
              </w:rPr>
              <w:t>3.0%</w:t>
            </w:r>
          </w:p>
        </w:tc>
        <w:tc>
          <w:tcPr>
            <w:tcW w:w="1980" w:type="dxa"/>
            <w:noWrap/>
            <w:vAlign w:val="center"/>
          </w:tcPr>
          <w:p w14:paraId="2A3BB8AB" w14:textId="77777777" w:rsidR="00183E41" w:rsidRPr="007F7AEB" w:rsidRDefault="00183E41" w:rsidP="00E75BA0">
            <w:pPr>
              <w:pStyle w:val="BodyText"/>
              <w:jc w:val="center"/>
              <w:rPr>
                <w:sz w:val="22"/>
                <w:szCs w:val="22"/>
              </w:rPr>
            </w:pPr>
            <w:r w:rsidRPr="007F7AEB">
              <w:rPr>
                <w:color w:val="000000"/>
                <w:sz w:val="22"/>
                <w:szCs w:val="22"/>
              </w:rPr>
              <w:t>3.2%</w:t>
            </w:r>
          </w:p>
        </w:tc>
      </w:tr>
      <w:tr w:rsidR="00183E41" w:rsidRPr="0002187D" w14:paraId="4D787EC1" w14:textId="77777777" w:rsidTr="00E75BA0">
        <w:trPr>
          <w:cantSplit/>
          <w:trHeight w:val="288"/>
        </w:trPr>
        <w:tc>
          <w:tcPr>
            <w:tcW w:w="4135" w:type="dxa"/>
            <w:noWrap/>
          </w:tcPr>
          <w:p w14:paraId="31E94990" w14:textId="77777777" w:rsidR="00183E41" w:rsidRPr="007F7AEB" w:rsidRDefault="00183E41" w:rsidP="00E75BA0">
            <w:pPr>
              <w:pStyle w:val="BodyText"/>
              <w:ind w:left="288"/>
              <w:rPr>
                <w:sz w:val="22"/>
                <w:szCs w:val="22"/>
              </w:rPr>
            </w:pPr>
            <w:r w:rsidRPr="007F7AEB">
              <w:rPr>
                <w:color w:val="000000"/>
                <w:sz w:val="22"/>
                <w:szCs w:val="22"/>
              </w:rPr>
              <w:t>Blood-loss anemia</w:t>
            </w:r>
          </w:p>
        </w:tc>
        <w:tc>
          <w:tcPr>
            <w:tcW w:w="1980" w:type="dxa"/>
            <w:noWrap/>
            <w:vAlign w:val="center"/>
          </w:tcPr>
          <w:p w14:paraId="5DB7EB82" w14:textId="77777777" w:rsidR="00183E41" w:rsidRPr="007F7AEB" w:rsidRDefault="00183E41" w:rsidP="00E75BA0">
            <w:pPr>
              <w:pStyle w:val="BodyText"/>
              <w:jc w:val="center"/>
              <w:rPr>
                <w:sz w:val="22"/>
                <w:szCs w:val="22"/>
              </w:rPr>
            </w:pPr>
            <w:r w:rsidRPr="007F7AEB">
              <w:rPr>
                <w:color w:val="000000"/>
                <w:sz w:val="22"/>
                <w:szCs w:val="22"/>
              </w:rPr>
              <w:t>0.6%</w:t>
            </w:r>
          </w:p>
        </w:tc>
        <w:tc>
          <w:tcPr>
            <w:tcW w:w="1980" w:type="dxa"/>
            <w:noWrap/>
            <w:vAlign w:val="center"/>
          </w:tcPr>
          <w:p w14:paraId="73D2BE07" w14:textId="77777777" w:rsidR="00183E41" w:rsidRPr="007F7AEB" w:rsidRDefault="00183E41" w:rsidP="00E75BA0">
            <w:pPr>
              <w:pStyle w:val="BodyText"/>
              <w:jc w:val="center"/>
              <w:rPr>
                <w:sz w:val="22"/>
                <w:szCs w:val="22"/>
              </w:rPr>
            </w:pPr>
            <w:r w:rsidRPr="007F7AEB">
              <w:rPr>
                <w:color w:val="000000"/>
                <w:sz w:val="22"/>
                <w:szCs w:val="22"/>
              </w:rPr>
              <w:t>0.7%</w:t>
            </w:r>
          </w:p>
        </w:tc>
        <w:tc>
          <w:tcPr>
            <w:tcW w:w="1980" w:type="dxa"/>
            <w:noWrap/>
            <w:vAlign w:val="center"/>
          </w:tcPr>
          <w:p w14:paraId="76D110A5" w14:textId="77777777" w:rsidR="00183E41" w:rsidRPr="007F7AEB" w:rsidRDefault="00183E41" w:rsidP="00E75BA0">
            <w:pPr>
              <w:pStyle w:val="BodyText"/>
              <w:jc w:val="center"/>
              <w:rPr>
                <w:sz w:val="22"/>
                <w:szCs w:val="22"/>
              </w:rPr>
            </w:pPr>
            <w:r w:rsidRPr="007F7AEB">
              <w:rPr>
                <w:color w:val="000000"/>
                <w:sz w:val="22"/>
                <w:szCs w:val="22"/>
              </w:rPr>
              <w:t>0.6%</w:t>
            </w:r>
          </w:p>
        </w:tc>
      </w:tr>
      <w:tr w:rsidR="00183E41" w:rsidRPr="0002187D" w14:paraId="6F7902B7" w14:textId="77777777" w:rsidTr="00E75BA0">
        <w:trPr>
          <w:cantSplit/>
          <w:trHeight w:val="288"/>
        </w:trPr>
        <w:tc>
          <w:tcPr>
            <w:tcW w:w="4135" w:type="dxa"/>
            <w:noWrap/>
          </w:tcPr>
          <w:p w14:paraId="22A392D9" w14:textId="77777777" w:rsidR="00183E41" w:rsidRPr="007F7AEB" w:rsidRDefault="00183E41" w:rsidP="00E75BA0">
            <w:pPr>
              <w:pStyle w:val="BodyText"/>
              <w:ind w:left="288"/>
              <w:rPr>
                <w:sz w:val="22"/>
                <w:szCs w:val="22"/>
              </w:rPr>
            </w:pPr>
            <w:r w:rsidRPr="007F7AEB">
              <w:rPr>
                <w:color w:val="000000"/>
                <w:sz w:val="22"/>
                <w:szCs w:val="22"/>
              </w:rPr>
              <w:t>Congestive heart failure</w:t>
            </w:r>
          </w:p>
        </w:tc>
        <w:tc>
          <w:tcPr>
            <w:tcW w:w="1980" w:type="dxa"/>
            <w:noWrap/>
            <w:vAlign w:val="center"/>
          </w:tcPr>
          <w:p w14:paraId="78455569" w14:textId="77777777" w:rsidR="00183E41" w:rsidRPr="007F7AEB" w:rsidRDefault="00183E41" w:rsidP="00E75BA0">
            <w:pPr>
              <w:pStyle w:val="BodyText"/>
              <w:jc w:val="center"/>
              <w:rPr>
                <w:sz w:val="22"/>
                <w:szCs w:val="22"/>
              </w:rPr>
            </w:pPr>
            <w:r w:rsidRPr="007F7AEB">
              <w:rPr>
                <w:color w:val="000000"/>
                <w:sz w:val="22"/>
                <w:szCs w:val="22"/>
              </w:rPr>
              <w:t>21.2%</w:t>
            </w:r>
          </w:p>
        </w:tc>
        <w:tc>
          <w:tcPr>
            <w:tcW w:w="1980" w:type="dxa"/>
            <w:noWrap/>
            <w:vAlign w:val="center"/>
          </w:tcPr>
          <w:p w14:paraId="16EAA165" w14:textId="77777777" w:rsidR="00183E41" w:rsidRPr="007F7AEB" w:rsidRDefault="00183E41" w:rsidP="00E75BA0">
            <w:pPr>
              <w:pStyle w:val="BodyText"/>
              <w:jc w:val="center"/>
              <w:rPr>
                <w:sz w:val="22"/>
                <w:szCs w:val="22"/>
              </w:rPr>
            </w:pPr>
            <w:r w:rsidRPr="007F7AEB">
              <w:rPr>
                <w:color w:val="000000"/>
                <w:sz w:val="22"/>
                <w:szCs w:val="22"/>
              </w:rPr>
              <w:t>20.1%</w:t>
            </w:r>
          </w:p>
        </w:tc>
        <w:tc>
          <w:tcPr>
            <w:tcW w:w="1980" w:type="dxa"/>
            <w:noWrap/>
            <w:vAlign w:val="center"/>
          </w:tcPr>
          <w:p w14:paraId="423E6A18" w14:textId="77777777" w:rsidR="00183E41" w:rsidRPr="007F7AEB" w:rsidRDefault="00183E41" w:rsidP="00E75BA0">
            <w:pPr>
              <w:pStyle w:val="BodyText"/>
              <w:jc w:val="center"/>
              <w:rPr>
                <w:sz w:val="22"/>
                <w:szCs w:val="22"/>
              </w:rPr>
            </w:pPr>
            <w:r w:rsidRPr="007F7AEB">
              <w:rPr>
                <w:color w:val="000000"/>
                <w:sz w:val="22"/>
                <w:szCs w:val="22"/>
              </w:rPr>
              <w:t>21.9%</w:t>
            </w:r>
          </w:p>
        </w:tc>
      </w:tr>
      <w:tr w:rsidR="00183E41" w:rsidRPr="0002187D" w14:paraId="62ED16E9" w14:textId="77777777" w:rsidTr="00E75BA0">
        <w:trPr>
          <w:cantSplit/>
          <w:trHeight w:val="288"/>
        </w:trPr>
        <w:tc>
          <w:tcPr>
            <w:tcW w:w="4135" w:type="dxa"/>
            <w:noWrap/>
          </w:tcPr>
          <w:p w14:paraId="106A2B2F" w14:textId="77777777" w:rsidR="00183E41" w:rsidRPr="007F7AEB" w:rsidRDefault="00183E41" w:rsidP="00E75BA0">
            <w:pPr>
              <w:pStyle w:val="BodyText"/>
              <w:ind w:left="288"/>
              <w:rPr>
                <w:sz w:val="22"/>
                <w:szCs w:val="22"/>
              </w:rPr>
            </w:pPr>
            <w:r w:rsidRPr="007F7AEB">
              <w:rPr>
                <w:color w:val="000000"/>
                <w:sz w:val="22"/>
                <w:szCs w:val="22"/>
              </w:rPr>
              <w:t>Chronic pulmonary disease</w:t>
            </w:r>
          </w:p>
        </w:tc>
        <w:tc>
          <w:tcPr>
            <w:tcW w:w="1980" w:type="dxa"/>
            <w:noWrap/>
            <w:vAlign w:val="center"/>
          </w:tcPr>
          <w:p w14:paraId="5407518F" w14:textId="77777777" w:rsidR="00183E41" w:rsidRPr="007F7AEB" w:rsidRDefault="00183E41" w:rsidP="00E75BA0">
            <w:pPr>
              <w:pStyle w:val="BodyText"/>
              <w:jc w:val="center"/>
              <w:rPr>
                <w:sz w:val="22"/>
                <w:szCs w:val="22"/>
              </w:rPr>
            </w:pPr>
            <w:r w:rsidRPr="007F7AEB">
              <w:rPr>
                <w:color w:val="000000"/>
                <w:sz w:val="22"/>
                <w:szCs w:val="22"/>
              </w:rPr>
              <w:t>47.4%</w:t>
            </w:r>
          </w:p>
        </w:tc>
        <w:tc>
          <w:tcPr>
            <w:tcW w:w="1980" w:type="dxa"/>
            <w:noWrap/>
            <w:vAlign w:val="center"/>
          </w:tcPr>
          <w:p w14:paraId="37D0D096" w14:textId="77777777" w:rsidR="00183E41" w:rsidRPr="007F7AEB" w:rsidRDefault="00183E41" w:rsidP="00E75BA0">
            <w:pPr>
              <w:pStyle w:val="BodyText"/>
              <w:jc w:val="center"/>
              <w:rPr>
                <w:sz w:val="22"/>
                <w:szCs w:val="22"/>
              </w:rPr>
            </w:pPr>
            <w:r w:rsidRPr="007F7AEB">
              <w:rPr>
                <w:color w:val="000000"/>
                <w:sz w:val="22"/>
                <w:szCs w:val="22"/>
              </w:rPr>
              <w:t>49.8%</w:t>
            </w:r>
          </w:p>
        </w:tc>
        <w:tc>
          <w:tcPr>
            <w:tcW w:w="1980" w:type="dxa"/>
            <w:noWrap/>
            <w:vAlign w:val="center"/>
          </w:tcPr>
          <w:p w14:paraId="60DEEB13" w14:textId="77777777" w:rsidR="00183E41" w:rsidRPr="007F7AEB" w:rsidRDefault="00183E41" w:rsidP="00E75BA0">
            <w:pPr>
              <w:pStyle w:val="BodyText"/>
              <w:jc w:val="center"/>
              <w:rPr>
                <w:sz w:val="22"/>
                <w:szCs w:val="22"/>
              </w:rPr>
            </w:pPr>
            <w:r w:rsidRPr="007F7AEB">
              <w:rPr>
                <w:color w:val="000000"/>
                <w:sz w:val="22"/>
                <w:szCs w:val="22"/>
              </w:rPr>
              <w:t>45.9%</w:t>
            </w:r>
          </w:p>
        </w:tc>
      </w:tr>
      <w:tr w:rsidR="00183E41" w:rsidRPr="0002187D" w14:paraId="5C90F272" w14:textId="77777777" w:rsidTr="00E75BA0">
        <w:trPr>
          <w:cantSplit/>
          <w:trHeight w:val="288"/>
        </w:trPr>
        <w:tc>
          <w:tcPr>
            <w:tcW w:w="4135" w:type="dxa"/>
            <w:noWrap/>
          </w:tcPr>
          <w:p w14:paraId="3C94CEC6" w14:textId="77777777" w:rsidR="00183E41" w:rsidRPr="007F7AEB" w:rsidRDefault="00183E41" w:rsidP="00E75BA0">
            <w:pPr>
              <w:pStyle w:val="BodyText"/>
              <w:ind w:left="288"/>
              <w:rPr>
                <w:sz w:val="22"/>
                <w:szCs w:val="22"/>
              </w:rPr>
            </w:pPr>
            <w:r w:rsidRPr="007F7AEB">
              <w:rPr>
                <w:color w:val="000000"/>
                <w:sz w:val="22"/>
                <w:szCs w:val="22"/>
              </w:rPr>
              <w:t>Coagulopathy</w:t>
            </w:r>
          </w:p>
        </w:tc>
        <w:tc>
          <w:tcPr>
            <w:tcW w:w="1980" w:type="dxa"/>
            <w:noWrap/>
            <w:vAlign w:val="center"/>
          </w:tcPr>
          <w:p w14:paraId="33CD4B83" w14:textId="77777777" w:rsidR="00183E41" w:rsidRPr="007F7AEB" w:rsidRDefault="00183E41" w:rsidP="00E75BA0">
            <w:pPr>
              <w:pStyle w:val="BodyText"/>
              <w:jc w:val="center"/>
              <w:rPr>
                <w:sz w:val="22"/>
                <w:szCs w:val="22"/>
              </w:rPr>
            </w:pPr>
            <w:r w:rsidRPr="007F7AEB">
              <w:rPr>
                <w:color w:val="000000"/>
                <w:sz w:val="22"/>
                <w:szCs w:val="22"/>
              </w:rPr>
              <w:t>5.2%</w:t>
            </w:r>
          </w:p>
        </w:tc>
        <w:tc>
          <w:tcPr>
            <w:tcW w:w="1980" w:type="dxa"/>
            <w:noWrap/>
            <w:vAlign w:val="center"/>
          </w:tcPr>
          <w:p w14:paraId="65D6A24D" w14:textId="77777777" w:rsidR="00183E41" w:rsidRPr="007F7AEB" w:rsidRDefault="00183E41" w:rsidP="00E75BA0">
            <w:pPr>
              <w:pStyle w:val="BodyText"/>
              <w:jc w:val="center"/>
              <w:rPr>
                <w:sz w:val="22"/>
                <w:szCs w:val="22"/>
              </w:rPr>
            </w:pPr>
            <w:r w:rsidRPr="007F7AEB">
              <w:rPr>
                <w:color w:val="000000"/>
                <w:sz w:val="22"/>
                <w:szCs w:val="22"/>
              </w:rPr>
              <w:t>5.8%</w:t>
            </w:r>
          </w:p>
        </w:tc>
        <w:tc>
          <w:tcPr>
            <w:tcW w:w="1980" w:type="dxa"/>
            <w:noWrap/>
            <w:vAlign w:val="center"/>
          </w:tcPr>
          <w:p w14:paraId="761D4946" w14:textId="77777777" w:rsidR="00183E41" w:rsidRPr="007F7AEB" w:rsidRDefault="00183E41" w:rsidP="00E75BA0">
            <w:pPr>
              <w:pStyle w:val="BodyText"/>
              <w:jc w:val="center"/>
              <w:rPr>
                <w:sz w:val="22"/>
                <w:szCs w:val="22"/>
              </w:rPr>
            </w:pPr>
            <w:r w:rsidRPr="007F7AEB">
              <w:rPr>
                <w:color w:val="000000"/>
                <w:sz w:val="22"/>
                <w:szCs w:val="22"/>
              </w:rPr>
              <w:t>4.8%</w:t>
            </w:r>
          </w:p>
        </w:tc>
      </w:tr>
      <w:tr w:rsidR="00183E41" w:rsidRPr="0002187D" w14:paraId="69FEC08F" w14:textId="77777777" w:rsidTr="00E75BA0">
        <w:trPr>
          <w:cantSplit/>
          <w:trHeight w:val="288"/>
        </w:trPr>
        <w:tc>
          <w:tcPr>
            <w:tcW w:w="4135" w:type="dxa"/>
            <w:noWrap/>
          </w:tcPr>
          <w:p w14:paraId="3FB1EE88" w14:textId="77777777" w:rsidR="00183E41" w:rsidRPr="007F7AEB" w:rsidRDefault="00183E41" w:rsidP="00E75BA0">
            <w:pPr>
              <w:pStyle w:val="BodyText"/>
              <w:ind w:left="288"/>
              <w:rPr>
                <w:sz w:val="22"/>
                <w:szCs w:val="22"/>
              </w:rPr>
            </w:pPr>
            <w:r w:rsidRPr="007F7AEB">
              <w:rPr>
                <w:color w:val="000000"/>
                <w:sz w:val="22"/>
                <w:szCs w:val="22"/>
              </w:rPr>
              <w:t>Depression</w:t>
            </w:r>
          </w:p>
        </w:tc>
        <w:tc>
          <w:tcPr>
            <w:tcW w:w="1980" w:type="dxa"/>
            <w:noWrap/>
            <w:vAlign w:val="center"/>
          </w:tcPr>
          <w:p w14:paraId="2818BF8F" w14:textId="77777777" w:rsidR="00183E41" w:rsidRPr="007F7AEB" w:rsidRDefault="00183E41" w:rsidP="00E75BA0">
            <w:pPr>
              <w:pStyle w:val="BodyText"/>
              <w:jc w:val="center"/>
              <w:rPr>
                <w:sz w:val="22"/>
                <w:szCs w:val="22"/>
              </w:rPr>
            </w:pPr>
            <w:r w:rsidRPr="007F7AEB">
              <w:rPr>
                <w:color w:val="000000"/>
                <w:sz w:val="22"/>
                <w:szCs w:val="22"/>
              </w:rPr>
              <w:t>7.4%</w:t>
            </w:r>
          </w:p>
        </w:tc>
        <w:tc>
          <w:tcPr>
            <w:tcW w:w="1980" w:type="dxa"/>
            <w:noWrap/>
            <w:vAlign w:val="center"/>
          </w:tcPr>
          <w:p w14:paraId="587996DB" w14:textId="77777777" w:rsidR="00183E41" w:rsidRPr="007F7AEB" w:rsidRDefault="00183E41" w:rsidP="00E75BA0">
            <w:pPr>
              <w:pStyle w:val="BodyText"/>
              <w:jc w:val="center"/>
              <w:rPr>
                <w:sz w:val="22"/>
                <w:szCs w:val="22"/>
              </w:rPr>
            </w:pPr>
            <w:r w:rsidRPr="007F7AEB">
              <w:rPr>
                <w:color w:val="000000"/>
                <w:sz w:val="22"/>
                <w:szCs w:val="22"/>
              </w:rPr>
              <w:t>6.7%</w:t>
            </w:r>
          </w:p>
        </w:tc>
        <w:tc>
          <w:tcPr>
            <w:tcW w:w="1980" w:type="dxa"/>
            <w:noWrap/>
            <w:vAlign w:val="center"/>
          </w:tcPr>
          <w:p w14:paraId="4B9D3B74" w14:textId="77777777" w:rsidR="00183E41" w:rsidRPr="007F7AEB" w:rsidRDefault="00183E41" w:rsidP="00E75BA0">
            <w:pPr>
              <w:pStyle w:val="BodyText"/>
              <w:jc w:val="center"/>
              <w:rPr>
                <w:sz w:val="22"/>
                <w:szCs w:val="22"/>
              </w:rPr>
            </w:pPr>
            <w:r w:rsidRPr="007F7AEB">
              <w:rPr>
                <w:color w:val="000000"/>
                <w:sz w:val="22"/>
                <w:szCs w:val="22"/>
              </w:rPr>
              <w:t>7.9%</w:t>
            </w:r>
          </w:p>
        </w:tc>
      </w:tr>
      <w:tr w:rsidR="00183E41" w:rsidRPr="0002187D" w14:paraId="569C4252" w14:textId="77777777" w:rsidTr="00E75BA0">
        <w:trPr>
          <w:cantSplit/>
          <w:trHeight w:val="288"/>
        </w:trPr>
        <w:tc>
          <w:tcPr>
            <w:tcW w:w="4135" w:type="dxa"/>
            <w:noWrap/>
          </w:tcPr>
          <w:p w14:paraId="6D2E0B9B" w14:textId="77777777" w:rsidR="00183E41" w:rsidRPr="007F7AEB" w:rsidRDefault="00183E41" w:rsidP="00E75BA0">
            <w:pPr>
              <w:pStyle w:val="BodyText"/>
              <w:ind w:left="288"/>
              <w:rPr>
                <w:sz w:val="22"/>
                <w:szCs w:val="22"/>
              </w:rPr>
            </w:pPr>
            <w:r w:rsidRPr="007F7AEB">
              <w:rPr>
                <w:color w:val="000000"/>
                <w:sz w:val="22"/>
                <w:szCs w:val="22"/>
              </w:rPr>
              <w:t>Diabetes, uncomplicated</w:t>
            </w:r>
          </w:p>
        </w:tc>
        <w:tc>
          <w:tcPr>
            <w:tcW w:w="1980" w:type="dxa"/>
            <w:noWrap/>
            <w:vAlign w:val="center"/>
          </w:tcPr>
          <w:p w14:paraId="1A803B76" w14:textId="77777777" w:rsidR="00183E41" w:rsidRPr="007F7AEB" w:rsidRDefault="00183E41" w:rsidP="00E75BA0">
            <w:pPr>
              <w:pStyle w:val="BodyText"/>
              <w:jc w:val="center"/>
              <w:rPr>
                <w:sz w:val="22"/>
                <w:szCs w:val="22"/>
              </w:rPr>
            </w:pPr>
            <w:r w:rsidRPr="007F7AEB">
              <w:rPr>
                <w:color w:val="000000"/>
                <w:sz w:val="22"/>
                <w:szCs w:val="22"/>
              </w:rPr>
              <w:t>14.4%</w:t>
            </w:r>
          </w:p>
        </w:tc>
        <w:tc>
          <w:tcPr>
            <w:tcW w:w="1980" w:type="dxa"/>
            <w:noWrap/>
            <w:vAlign w:val="center"/>
          </w:tcPr>
          <w:p w14:paraId="4475E4F9" w14:textId="77777777" w:rsidR="00183E41" w:rsidRPr="007F7AEB" w:rsidRDefault="00183E41" w:rsidP="00E75BA0">
            <w:pPr>
              <w:pStyle w:val="BodyText"/>
              <w:jc w:val="center"/>
              <w:rPr>
                <w:sz w:val="22"/>
                <w:szCs w:val="22"/>
              </w:rPr>
            </w:pPr>
            <w:r w:rsidRPr="007F7AEB">
              <w:rPr>
                <w:color w:val="000000"/>
                <w:sz w:val="22"/>
                <w:szCs w:val="22"/>
              </w:rPr>
              <w:t>14.2%</w:t>
            </w:r>
          </w:p>
        </w:tc>
        <w:tc>
          <w:tcPr>
            <w:tcW w:w="1980" w:type="dxa"/>
            <w:noWrap/>
            <w:vAlign w:val="center"/>
          </w:tcPr>
          <w:p w14:paraId="79DE0CC1" w14:textId="77777777" w:rsidR="00183E41" w:rsidRPr="007F7AEB" w:rsidRDefault="00183E41" w:rsidP="00E75BA0">
            <w:pPr>
              <w:pStyle w:val="BodyText"/>
              <w:jc w:val="center"/>
              <w:rPr>
                <w:sz w:val="22"/>
                <w:szCs w:val="22"/>
              </w:rPr>
            </w:pPr>
            <w:r w:rsidRPr="007F7AEB">
              <w:rPr>
                <w:color w:val="000000"/>
                <w:sz w:val="22"/>
                <w:szCs w:val="22"/>
              </w:rPr>
              <w:t>14.6%</w:t>
            </w:r>
          </w:p>
        </w:tc>
      </w:tr>
      <w:tr w:rsidR="00183E41" w:rsidRPr="0002187D" w14:paraId="6FE052D8" w14:textId="77777777" w:rsidTr="00E75BA0">
        <w:trPr>
          <w:cantSplit/>
          <w:trHeight w:val="288"/>
        </w:trPr>
        <w:tc>
          <w:tcPr>
            <w:tcW w:w="4135" w:type="dxa"/>
            <w:noWrap/>
          </w:tcPr>
          <w:p w14:paraId="43A92785" w14:textId="77777777" w:rsidR="00183E41" w:rsidRPr="007F7AEB" w:rsidRDefault="00183E41" w:rsidP="00E75BA0">
            <w:pPr>
              <w:pStyle w:val="BodyText"/>
              <w:ind w:left="288"/>
              <w:rPr>
                <w:sz w:val="22"/>
                <w:szCs w:val="22"/>
              </w:rPr>
            </w:pPr>
            <w:r w:rsidRPr="007F7AEB">
              <w:rPr>
                <w:color w:val="000000"/>
                <w:sz w:val="22"/>
                <w:szCs w:val="22"/>
              </w:rPr>
              <w:t>Diabetes, complicated</w:t>
            </w:r>
          </w:p>
        </w:tc>
        <w:tc>
          <w:tcPr>
            <w:tcW w:w="1980" w:type="dxa"/>
            <w:noWrap/>
            <w:vAlign w:val="center"/>
          </w:tcPr>
          <w:p w14:paraId="4B5DEA17" w14:textId="77777777" w:rsidR="00183E41" w:rsidRPr="007F7AEB" w:rsidRDefault="00183E41" w:rsidP="00E75BA0">
            <w:pPr>
              <w:pStyle w:val="BodyText"/>
              <w:jc w:val="center"/>
              <w:rPr>
                <w:sz w:val="22"/>
                <w:szCs w:val="22"/>
              </w:rPr>
            </w:pPr>
            <w:r w:rsidRPr="007F7AEB">
              <w:rPr>
                <w:color w:val="000000"/>
                <w:sz w:val="22"/>
                <w:szCs w:val="22"/>
              </w:rPr>
              <w:t>23.6%</w:t>
            </w:r>
          </w:p>
        </w:tc>
        <w:tc>
          <w:tcPr>
            <w:tcW w:w="1980" w:type="dxa"/>
            <w:noWrap/>
            <w:vAlign w:val="center"/>
          </w:tcPr>
          <w:p w14:paraId="6CEA46D9" w14:textId="77777777" w:rsidR="00183E41" w:rsidRPr="007F7AEB" w:rsidRDefault="00183E41" w:rsidP="00E75BA0">
            <w:pPr>
              <w:pStyle w:val="BodyText"/>
              <w:jc w:val="center"/>
              <w:rPr>
                <w:sz w:val="22"/>
                <w:szCs w:val="22"/>
              </w:rPr>
            </w:pPr>
            <w:r w:rsidRPr="007F7AEB">
              <w:rPr>
                <w:color w:val="000000"/>
                <w:sz w:val="22"/>
                <w:szCs w:val="22"/>
              </w:rPr>
              <w:t>23.3%</w:t>
            </w:r>
          </w:p>
        </w:tc>
        <w:tc>
          <w:tcPr>
            <w:tcW w:w="1980" w:type="dxa"/>
            <w:noWrap/>
            <w:vAlign w:val="center"/>
          </w:tcPr>
          <w:p w14:paraId="72ACF282" w14:textId="77777777" w:rsidR="00183E41" w:rsidRPr="007F7AEB" w:rsidRDefault="00183E41" w:rsidP="00E75BA0">
            <w:pPr>
              <w:pStyle w:val="BodyText"/>
              <w:jc w:val="center"/>
              <w:rPr>
                <w:sz w:val="22"/>
                <w:szCs w:val="22"/>
              </w:rPr>
            </w:pPr>
            <w:r w:rsidRPr="007F7AEB">
              <w:rPr>
                <w:color w:val="000000"/>
                <w:sz w:val="22"/>
                <w:szCs w:val="22"/>
              </w:rPr>
              <w:t>23.8%</w:t>
            </w:r>
          </w:p>
        </w:tc>
      </w:tr>
      <w:tr w:rsidR="00183E41" w:rsidRPr="0002187D" w14:paraId="0036FA9F" w14:textId="77777777" w:rsidTr="00E75BA0">
        <w:trPr>
          <w:cantSplit/>
          <w:trHeight w:val="288"/>
        </w:trPr>
        <w:tc>
          <w:tcPr>
            <w:tcW w:w="4135" w:type="dxa"/>
            <w:noWrap/>
          </w:tcPr>
          <w:p w14:paraId="0BD71EC9" w14:textId="77777777" w:rsidR="00183E41" w:rsidRPr="007F7AEB" w:rsidRDefault="00183E41" w:rsidP="00E75BA0">
            <w:pPr>
              <w:pStyle w:val="BodyText"/>
              <w:ind w:left="288"/>
              <w:rPr>
                <w:sz w:val="22"/>
                <w:szCs w:val="22"/>
              </w:rPr>
            </w:pPr>
            <w:r w:rsidRPr="007F7AEB">
              <w:rPr>
                <w:color w:val="000000"/>
                <w:sz w:val="22"/>
                <w:szCs w:val="22"/>
              </w:rPr>
              <w:t>Drug abuse</w:t>
            </w:r>
          </w:p>
        </w:tc>
        <w:tc>
          <w:tcPr>
            <w:tcW w:w="1980" w:type="dxa"/>
            <w:noWrap/>
            <w:vAlign w:val="center"/>
          </w:tcPr>
          <w:p w14:paraId="56C4B14D" w14:textId="77777777" w:rsidR="00183E41" w:rsidRPr="007F7AEB" w:rsidRDefault="00183E41" w:rsidP="00E75BA0">
            <w:pPr>
              <w:pStyle w:val="BodyText"/>
              <w:jc w:val="center"/>
              <w:rPr>
                <w:sz w:val="22"/>
                <w:szCs w:val="22"/>
              </w:rPr>
            </w:pPr>
            <w:r w:rsidRPr="007F7AEB">
              <w:rPr>
                <w:color w:val="000000"/>
                <w:sz w:val="22"/>
                <w:szCs w:val="22"/>
              </w:rPr>
              <w:t>5.6%</w:t>
            </w:r>
          </w:p>
        </w:tc>
        <w:tc>
          <w:tcPr>
            <w:tcW w:w="1980" w:type="dxa"/>
            <w:noWrap/>
            <w:vAlign w:val="center"/>
          </w:tcPr>
          <w:p w14:paraId="52D2BE39" w14:textId="77777777" w:rsidR="00183E41" w:rsidRPr="007F7AEB" w:rsidRDefault="00183E41" w:rsidP="00E75BA0">
            <w:pPr>
              <w:pStyle w:val="BodyText"/>
              <w:jc w:val="center"/>
              <w:rPr>
                <w:sz w:val="22"/>
                <w:szCs w:val="22"/>
              </w:rPr>
            </w:pPr>
            <w:r w:rsidRPr="007F7AEB">
              <w:rPr>
                <w:color w:val="000000"/>
                <w:sz w:val="22"/>
                <w:szCs w:val="22"/>
              </w:rPr>
              <w:t>4.8%</w:t>
            </w:r>
          </w:p>
        </w:tc>
        <w:tc>
          <w:tcPr>
            <w:tcW w:w="1980" w:type="dxa"/>
            <w:noWrap/>
            <w:vAlign w:val="center"/>
          </w:tcPr>
          <w:p w14:paraId="79D87615" w14:textId="77777777" w:rsidR="00183E41" w:rsidRPr="007F7AEB" w:rsidRDefault="00183E41" w:rsidP="00E75BA0">
            <w:pPr>
              <w:pStyle w:val="BodyText"/>
              <w:jc w:val="center"/>
              <w:rPr>
                <w:sz w:val="22"/>
                <w:szCs w:val="22"/>
              </w:rPr>
            </w:pPr>
            <w:r w:rsidRPr="007F7AEB">
              <w:rPr>
                <w:color w:val="000000"/>
                <w:sz w:val="22"/>
                <w:szCs w:val="22"/>
              </w:rPr>
              <w:t>6.2%</w:t>
            </w:r>
          </w:p>
        </w:tc>
      </w:tr>
      <w:tr w:rsidR="00183E41" w:rsidRPr="0002187D" w14:paraId="128E32B7" w14:textId="77777777" w:rsidTr="00E75BA0">
        <w:trPr>
          <w:cantSplit/>
          <w:trHeight w:val="288"/>
        </w:trPr>
        <w:tc>
          <w:tcPr>
            <w:tcW w:w="4135" w:type="dxa"/>
            <w:noWrap/>
          </w:tcPr>
          <w:p w14:paraId="583943F5" w14:textId="77777777" w:rsidR="00183E41" w:rsidRPr="007F7AEB" w:rsidRDefault="00183E41" w:rsidP="00E75BA0">
            <w:pPr>
              <w:pStyle w:val="BodyText"/>
              <w:rPr>
                <w:sz w:val="22"/>
                <w:szCs w:val="22"/>
              </w:rPr>
            </w:pPr>
            <w:r w:rsidRPr="007F7AEB">
              <w:rPr>
                <w:color w:val="000000"/>
                <w:sz w:val="22"/>
                <w:szCs w:val="22"/>
              </w:rPr>
              <w:t>Hypertension without complications</w:t>
            </w:r>
          </w:p>
        </w:tc>
        <w:tc>
          <w:tcPr>
            <w:tcW w:w="1980" w:type="dxa"/>
            <w:noWrap/>
            <w:vAlign w:val="center"/>
          </w:tcPr>
          <w:p w14:paraId="27F0EF90" w14:textId="77777777" w:rsidR="00183E41" w:rsidRPr="007F7AEB" w:rsidRDefault="00183E41" w:rsidP="00E75BA0">
            <w:pPr>
              <w:pStyle w:val="BodyText"/>
              <w:jc w:val="center"/>
              <w:rPr>
                <w:sz w:val="22"/>
                <w:szCs w:val="22"/>
              </w:rPr>
            </w:pPr>
            <w:r w:rsidRPr="007F7AEB">
              <w:rPr>
                <w:color w:val="000000"/>
                <w:sz w:val="22"/>
                <w:szCs w:val="22"/>
              </w:rPr>
              <w:t>35.4%</w:t>
            </w:r>
          </w:p>
        </w:tc>
        <w:tc>
          <w:tcPr>
            <w:tcW w:w="1980" w:type="dxa"/>
            <w:noWrap/>
            <w:vAlign w:val="center"/>
          </w:tcPr>
          <w:p w14:paraId="61233C34" w14:textId="77777777" w:rsidR="00183E41" w:rsidRPr="007F7AEB" w:rsidRDefault="00183E41" w:rsidP="00E75BA0">
            <w:pPr>
              <w:pStyle w:val="BodyText"/>
              <w:jc w:val="center"/>
              <w:rPr>
                <w:sz w:val="22"/>
                <w:szCs w:val="22"/>
              </w:rPr>
            </w:pPr>
            <w:r w:rsidRPr="007F7AEB">
              <w:rPr>
                <w:color w:val="000000"/>
                <w:sz w:val="22"/>
                <w:szCs w:val="22"/>
              </w:rPr>
              <w:t>36.6%</w:t>
            </w:r>
          </w:p>
        </w:tc>
        <w:tc>
          <w:tcPr>
            <w:tcW w:w="1980" w:type="dxa"/>
            <w:noWrap/>
            <w:vAlign w:val="center"/>
          </w:tcPr>
          <w:p w14:paraId="1FC98F61" w14:textId="77777777" w:rsidR="00183E41" w:rsidRPr="007F7AEB" w:rsidRDefault="00183E41" w:rsidP="00E75BA0">
            <w:pPr>
              <w:pStyle w:val="BodyText"/>
              <w:jc w:val="center"/>
              <w:rPr>
                <w:sz w:val="22"/>
                <w:szCs w:val="22"/>
              </w:rPr>
            </w:pPr>
            <w:r w:rsidRPr="007F7AEB">
              <w:rPr>
                <w:color w:val="000000"/>
                <w:sz w:val="22"/>
                <w:szCs w:val="22"/>
              </w:rPr>
              <w:t>34.6%</w:t>
            </w:r>
          </w:p>
        </w:tc>
      </w:tr>
      <w:tr w:rsidR="00183E41" w:rsidRPr="0002187D" w14:paraId="19AB6393" w14:textId="77777777" w:rsidTr="00E75BA0">
        <w:trPr>
          <w:cantSplit/>
          <w:trHeight w:val="288"/>
        </w:trPr>
        <w:tc>
          <w:tcPr>
            <w:tcW w:w="4135" w:type="dxa"/>
            <w:noWrap/>
          </w:tcPr>
          <w:p w14:paraId="743C4BFA" w14:textId="77777777" w:rsidR="00183E41" w:rsidRPr="007F7AEB" w:rsidRDefault="00183E41" w:rsidP="00E75BA0">
            <w:pPr>
              <w:pStyle w:val="BodyText"/>
              <w:rPr>
                <w:sz w:val="22"/>
                <w:szCs w:val="22"/>
              </w:rPr>
            </w:pPr>
            <w:r w:rsidRPr="007F7AEB">
              <w:rPr>
                <w:color w:val="000000"/>
                <w:sz w:val="22"/>
                <w:szCs w:val="22"/>
              </w:rPr>
              <w:t>Hypertension with/without complications</w:t>
            </w:r>
          </w:p>
        </w:tc>
        <w:tc>
          <w:tcPr>
            <w:tcW w:w="1980" w:type="dxa"/>
            <w:noWrap/>
            <w:vAlign w:val="center"/>
          </w:tcPr>
          <w:p w14:paraId="483BAA2F" w14:textId="77777777" w:rsidR="00183E41" w:rsidRPr="007F7AEB" w:rsidRDefault="00183E41" w:rsidP="00E75BA0">
            <w:pPr>
              <w:pStyle w:val="BodyText"/>
              <w:jc w:val="center"/>
              <w:rPr>
                <w:sz w:val="22"/>
                <w:szCs w:val="22"/>
              </w:rPr>
            </w:pPr>
            <w:r w:rsidRPr="007F7AEB">
              <w:rPr>
                <w:color w:val="000000"/>
                <w:sz w:val="22"/>
                <w:szCs w:val="22"/>
              </w:rPr>
              <w:t>68.8%</w:t>
            </w:r>
          </w:p>
        </w:tc>
        <w:tc>
          <w:tcPr>
            <w:tcW w:w="1980" w:type="dxa"/>
            <w:noWrap/>
            <w:vAlign w:val="center"/>
          </w:tcPr>
          <w:p w14:paraId="33FCAA5C" w14:textId="77777777" w:rsidR="00183E41" w:rsidRPr="007F7AEB" w:rsidRDefault="00183E41" w:rsidP="00E75BA0">
            <w:pPr>
              <w:pStyle w:val="BodyText"/>
              <w:jc w:val="center"/>
              <w:rPr>
                <w:sz w:val="22"/>
                <w:szCs w:val="22"/>
              </w:rPr>
            </w:pPr>
            <w:r w:rsidRPr="007F7AEB">
              <w:rPr>
                <w:color w:val="000000"/>
                <w:sz w:val="22"/>
                <w:szCs w:val="22"/>
              </w:rPr>
              <w:t>69.6%</w:t>
            </w:r>
          </w:p>
        </w:tc>
        <w:tc>
          <w:tcPr>
            <w:tcW w:w="1980" w:type="dxa"/>
            <w:noWrap/>
            <w:vAlign w:val="center"/>
          </w:tcPr>
          <w:p w14:paraId="7F206ABA" w14:textId="77777777" w:rsidR="00183E41" w:rsidRPr="007F7AEB" w:rsidRDefault="00183E41" w:rsidP="00E75BA0">
            <w:pPr>
              <w:pStyle w:val="BodyText"/>
              <w:jc w:val="center"/>
              <w:rPr>
                <w:sz w:val="22"/>
                <w:szCs w:val="22"/>
              </w:rPr>
            </w:pPr>
            <w:r w:rsidRPr="007F7AEB">
              <w:rPr>
                <w:color w:val="000000"/>
                <w:sz w:val="22"/>
                <w:szCs w:val="22"/>
              </w:rPr>
              <w:t>68.2%</w:t>
            </w:r>
          </w:p>
        </w:tc>
      </w:tr>
      <w:tr w:rsidR="00183E41" w:rsidRPr="0002187D" w14:paraId="079DFE70" w14:textId="77777777" w:rsidTr="00E75BA0">
        <w:trPr>
          <w:cantSplit/>
          <w:trHeight w:val="288"/>
        </w:trPr>
        <w:tc>
          <w:tcPr>
            <w:tcW w:w="4135" w:type="dxa"/>
            <w:noWrap/>
          </w:tcPr>
          <w:p w14:paraId="5F17B792" w14:textId="77777777" w:rsidR="00183E41" w:rsidRPr="007F7AEB" w:rsidRDefault="00183E41" w:rsidP="00E75BA0">
            <w:pPr>
              <w:pStyle w:val="BodyText"/>
              <w:rPr>
                <w:sz w:val="22"/>
                <w:szCs w:val="22"/>
              </w:rPr>
            </w:pPr>
            <w:r w:rsidRPr="007F7AEB">
              <w:rPr>
                <w:color w:val="000000"/>
                <w:sz w:val="22"/>
                <w:szCs w:val="22"/>
              </w:rPr>
              <w:t>Hypertension with complications</w:t>
            </w:r>
          </w:p>
        </w:tc>
        <w:tc>
          <w:tcPr>
            <w:tcW w:w="1980" w:type="dxa"/>
            <w:noWrap/>
            <w:vAlign w:val="center"/>
          </w:tcPr>
          <w:p w14:paraId="2BEA4C95" w14:textId="77777777" w:rsidR="00183E41" w:rsidRPr="007F7AEB" w:rsidRDefault="00183E41" w:rsidP="00E75BA0">
            <w:pPr>
              <w:pStyle w:val="BodyText"/>
              <w:jc w:val="center"/>
              <w:rPr>
                <w:sz w:val="22"/>
                <w:szCs w:val="22"/>
              </w:rPr>
            </w:pPr>
            <w:r w:rsidRPr="007F7AEB">
              <w:rPr>
                <w:color w:val="000000"/>
                <w:sz w:val="22"/>
                <w:szCs w:val="22"/>
              </w:rPr>
              <w:t>33.4%</w:t>
            </w:r>
          </w:p>
        </w:tc>
        <w:tc>
          <w:tcPr>
            <w:tcW w:w="1980" w:type="dxa"/>
            <w:noWrap/>
            <w:vAlign w:val="center"/>
          </w:tcPr>
          <w:p w14:paraId="5688C339" w14:textId="77777777" w:rsidR="00183E41" w:rsidRPr="007F7AEB" w:rsidRDefault="00183E41" w:rsidP="00E75BA0">
            <w:pPr>
              <w:pStyle w:val="BodyText"/>
              <w:jc w:val="center"/>
              <w:rPr>
                <w:sz w:val="22"/>
                <w:szCs w:val="22"/>
              </w:rPr>
            </w:pPr>
            <w:r w:rsidRPr="007F7AEB">
              <w:rPr>
                <w:color w:val="000000"/>
                <w:sz w:val="22"/>
                <w:szCs w:val="22"/>
              </w:rPr>
              <w:t>33.0%</w:t>
            </w:r>
          </w:p>
        </w:tc>
        <w:tc>
          <w:tcPr>
            <w:tcW w:w="1980" w:type="dxa"/>
            <w:noWrap/>
            <w:vAlign w:val="center"/>
          </w:tcPr>
          <w:p w14:paraId="57B64C67" w14:textId="77777777" w:rsidR="00183E41" w:rsidRPr="007F7AEB" w:rsidRDefault="00183E41" w:rsidP="00E75BA0">
            <w:pPr>
              <w:pStyle w:val="BodyText"/>
              <w:jc w:val="center"/>
              <w:rPr>
                <w:sz w:val="22"/>
                <w:szCs w:val="22"/>
              </w:rPr>
            </w:pPr>
            <w:r w:rsidRPr="007F7AEB">
              <w:rPr>
                <w:color w:val="000000"/>
                <w:sz w:val="22"/>
                <w:szCs w:val="22"/>
              </w:rPr>
              <w:t>33.6%</w:t>
            </w:r>
          </w:p>
        </w:tc>
      </w:tr>
      <w:tr w:rsidR="00183E41" w:rsidRPr="0002187D" w14:paraId="79F97BAB" w14:textId="77777777" w:rsidTr="00E75BA0">
        <w:trPr>
          <w:cantSplit/>
          <w:trHeight w:val="288"/>
        </w:trPr>
        <w:tc>
          <w:tcPr>
            <w:tcW w:w="4135" w:type="dxa"/>
            <w:noWrap/>
          </w:tcPr>
          <w:p w14:paraId="5336BB32" w14:textId="77777777" w:rsidR="00183E41" w:rsidRPr="007F7AEB" w:rsidRDefault="00183E41" w:rsidP="00E75BA0">
            <w:pPr>
              <w:pStyle w:val="BodyText"/>
              <w:rPr>
                <w:sz w:val="22"/>
                <w:szCs w:val="22"/>
              </w:rPr>
            </w:pPr>
            <w:r w:rsidRPr="007F7AEB">
              <w:rPr>
                <w:color w:val="000000"/>
                <w:sz w:val="22"/>
                <w:szCs w:val="22"/>
              </w:rPr>
              <w:t>Liver disease</w:t>
            </w:r>
          </w:p>
        </w:tc>
        <w:tc>
          <w:tcPr>
            <w:tcW w:w="1980" w:type="dxa"/>
            <w:noWrap/>
            <w:vAlign w:val="center"/>
          </w:tcPr>
          <w:p w14:paraId="75B842F4" w14:textId="77777777" w:rsidR="00183E41" w:rsidRPr="007F7AEB" w:rsidRDefault="00183E41" w:rsidP="00E75BA0">
            <w:pPr>
              <w:pStyle w:val="BodyText"/>
              <w:jc w:val="center"/>
              <w:rPr>
                <w:sz w:val="22"/>
                <w:szCs w:val="22"/>
              </w:rPr>
            </w:pPr>
            <w:r w:rsidRPr="007F7AEB">
              <w:rPr>
                <w:color w:val="000000"/>
                <w:sz w:val="22"/>
                <w:szCs w:val="22"/>
              </w:rPr>
              <w:t>7.3%</w:t>
            </w:r>
          </w:p>
        </w:tc>
        <w:tc>
          <w:tcPr>
            <w:tcW w:w="1980" w:type="dxa"/>
            <w:noWrap/>
            <w:vAlign w:val="center"/>
          </w:tcPr>
          <w:p w14:paraId="38ED8A05" w14:textId="77777777" w:rsidR="00183E41" w:rsidRPr="007F7AEB" w:rsidRDefault="00183E41" w:rsidP="00E75BA0">
            <w:pPr>
              <w:pStyle w:val="BodyText"/>
              <w:jc w:val="center"/>
              <w:rPr>
                <w:sz w:val="22"/>
                <w:szCs w:val="22"/>
              </w:rPr>
            </w:pPr>
            <w:r w:rsidRPr="007F7AEB">
              <w:rPr>
                <w:color w:val="000000"/>
                <w:sz w:val="22"/>
                <w:szCs w:val="22"/>
              </w:rPr>
              <w:t>7.2%</w:t>
            </w:r>
          </w:p>
        </w:tc>
        <w:tc>
          <w:tcPr>
            <w:tcW w:w="1980" w:type="dxa"/>
            <w:noWrap/>
            <w:vAlign w:val="center"/>
          </w:tcPr>
          <w:p w14:paraId="0BD4B391" w14:textId="77777777" w:rsidR="00183E41" w:rsidRPr="007F7AEB" w:rsidRDefault="00183E41" w:rsidP="00E75BA0">
            <w:pPr>
              <w:pStyle w:val="BodyText"/>
              <w:jc w:val="center"/>
              <w:rPr>
                <w:sz w:val="22"/>
                <w:szCs w:val="22"/>
              </w:rPr>
            </w:pPr>
            <w:r w:rsidRPr="007F7AEB">
              <w:rPr>
                <w:color w:val="000000"/>
                <w:sz w:val="22"/>
                <w:szCs w:val="22"/>
              </w:rPr>
              <w:t>7.3%</w:t>
            </w:r>
          </w:p>
        </w:tc>
      </w:tr>
      <w:tr w:rsidR="00183E41" w:rsidRPr="0002187D" w14:paraId="0F2E64F0" w14:textId="77777777" w:rsidTr="00E75BA0">
        <w:trPr>
          <w:cantSplit/>
          <w:trHeight w:val="288"/>
        </w:trPr>
        <w:tc>
          <w:tcPr>
            <w:tcW w:w="4135" w:type="dxa"/>
            <w:noWrap/>
          </w:tcPr>
          <w:p w14:paraId="730A3F96" w14:textId="77777777" w:rsidR="00183E41" w:rsidRPr="007F7AEB" w:rsidRDefault="00183E41" w:rsidP="00E75BA0">
            <w:pPr>
              <w:pStyle w:val="BodyText"/>
              <w:rPr>
                <w:sz w:val="22"/>
                <w:szCs w:val="22"/>
              </w:rPr>
            </w:pPr>
            <w:r w:rsidRPr="007F7AEB">
              <w:rPr>
                <w:color w:val="000000"/>
                <w:sz w:val="22"/>
                <w:szCs w:val="22"/>
              </w:rPr>
              <w:t>Lymphoma</w:t>
            </w:r>
          </w:p>
        </w:tc>
        <w:tc>
          <w:tcPr>
            <w:tcW w:w="1980" w:type="dxa"/>
            <w:noWrap/>
            <w:vAlign w:val="center"/>
          </w:tcPr>
          <w:p w14:paraId="6B36500E" w14:textId="77777777" w:rsidR="00183E41" w:rsidRPr="007F7AEB" w:rsidRDefault="00183E41" w:rsidP="00E75BA0">
            <w:pPr>
              <w:pStyle w:val="BodyText"/>
              <w:jc w:val="center"/>
              <w:rPr>
                <w:sz w:val="22"/>
                <w:szCs w:val="22"/>
              </w:rPr>
            </w:pPr>
            <w:r w:rsidRPr="007F7AEB">
              <w:rPr>
                <w:color w:val="000000"/>
                <w:sz w:val="22"/>
                <w:szCs w:val="22"/>
              </w:rPr>
              <w:t>0.0%</w:t>
            </w:r>
          </w:p>
        </w:tc>
        <w:tc>
          <w:tcPr>
            <w:tcW w:w="1980" w:type="dxa"/>
            <w:noWrap/>
            <w:vAlign w:val="center"/>
          </w:tcPr>
          <w:p w14:paraId="1DAA1EF3" w14:textId="77777777" w:rsidR="00183E41" w:rsidRPr="007F7AEB" w:rsidRDefault="00183E41" w:rsidP="00E75BA0">
            <w:pPr>
              <w:pStyle w:val="BodyText"/>
              <w:jc w:val="center"/>
              <w:rPr>
                <w:sz w:val="22"/>
                <w:szCs w:val="22"/>
              </w:rPr>
            </w:pPr>
            <w:r w:rsidRPr="007F7AEB">
              <w:rPr>
                <w:color w:val="000000"/>
                <w:sz w:val="22"/>
                <w:szCs w:val="22"/>
              </w:rPr>
              <w:t>0.0%</w:t>
            </w:r>
          </w:p>
        </w:tc>
        <w:tc>
          <w:tcPr>
            <w:tcW w:w="1980" w:type="dxa"/>
            <w:noWrap/>
            <w:vAlign w:val="center"/>
          </w:tcPr>
          <w:p w14:paraId="22721F7B" w14:textId="77777777" w:rsidR="00183E41" w:rsidRPr="007F7AEB" w:rsidRDefault="00183E41" w:rsidP="00E75BA0">
            <w:pPr>
              <w:pStyle w:val="BodyText"/>
              <w:jc w:val="center"/>
              <w:rPr>
                <w:sz w:val="22"/>
                <w:szCs w:val="22"/>
              </w:rPr>
            </w:pPr>
            <w:r w:rsidRPr="007F7AEB">
              <w:rPr>
                <w:color w:val="000000"/>
                <w:sz w:val="22"/>
                <w:szCs w:val="22"/>
              </w:rPr>
              <w:t>0.1%</w:t>
            </w:r>
          </w:p>
        </w:tc>
      </w:tr>
      <w:tr w:rsidR="00183E41" w:rsidRPr="0002187D" w14:paraId="52B7678A" w14:textId="77777777" w:rsidTr="00E75BA0">
        <w:trPr>
          <w:cantSplit/>
          <w:trHeight w:val="288"/>
        </w:trPr>
        <w:tc>
          <w:tcPr>
            <w:tcW w:w="4135" w:type="dxa"/>
            <w:noWrap/>
          </w:tcPr>
          <w:p w14:paraId="01E307F5" w14:textId="77777777" w:rsidR="00183E41" w:rsidRPr="007F7AEB" w:rsidRDefault="00183E41" w:rsidP="00E75BA0">
            <w:pPr>
              <w:pStyle w:val="BodyText"/>
              <w:rPr>
                <w:sz w:val="22"/>
                <w:szCs w:val="22"/>
              </w:rPr>
            </w:pPr>
            <w:r w:rsidRPr="007F7AEB">
              <w:rPr>
                <w:color w:val="000000"/>
                <w:sz w:val="22"/>
                <w:szCs w:val="22"/>
              </w:rPr>
              <w:t>Metastatic cancer</w:t>
            </w:r>
          </w:p>
        </w:tc>
        <w:tc>
          <w:tcPr>
            <w:tcW w:w="1980" w:type="dxa"/>
            <w:noWrap/>
            <w:vAlign w:val="center"/>
          </w:tcPr>
          <w:p w14:paraId="7DB50164" w14:textId="77777777" w:rsidR="00183E41" w:rsidRPr="007F7AEB" w:rsidRDefault="00183E41" w:rsidP="00E75BA0">
            <w:pPr>
              <w:pStyle w:val="BodyText"/>
              <w:jc w:val="center"/>
              <w:rPr>
                <w:sz w:val="22"/>
                <w:szCs w:val="22"/>
              </w:rPr>
            </w:pPr>
            <w:r w:rsidRPr="007F7AEB">
              <w:rPr>
                <w:color w:val="000000"/>
                <w:sz w:val="22"/>
                <w:szCs w:val="22"/>
              </w:rPr>
              <w:t>5.9%</w:t>
            </w:r>
          </w:p>
        </w:tc>
        <w:tc>
          <w:tcPr>
            <w:tcW w:w="1980" w:type="dxa"/>
            <w:noWrap/>
            <w:vAlign w:val="center"/>
          </w:tcPr>
          <w:p w14:paraId="24034CCC" w14:textId="77777777" w:rsidR="00183E41" w:rsidRPr="007F7AEB" w:rsidRDefault="00183E41" w:rsidP="00E75BA0">
            <w:pPr>
              <w:pStyle w:val="BodyText"/>
              <w:jc w:val="center"/>
              <w:rPr>
                <w:sz w:val="22"/>
                <w:szCs w:val="22"/>
              </w:rPr>
            </w:pPr>
            <w:r w:rsidRPr="007F7AEB">
              <w:rPr>
                <w:color w:val="000000"/>
                <w:sz w:val="22"/>
                <w:szCs w:val="22"/>
              </w:rPr>
              <w:t>7.1%</w:t>
            </w:r>
          </w:p>
        </w:tc>
        <w:tc>
          <w:tcPr>
            <w:tcW w:w="1980" w:type="dxa"/>
            <w:noWrap/>
            <w:vAlign w:val="center"/>
          </w:tcPr>
          <w:p w14:paraId="2DA5F511" w14:textId="77777777" w:rsidR="00183E41" w:rsidRPr="007F7AEB" w:rsidRDefault="00183E41" w:rsidP="00E75BA0">
            <w:pPr>
              <w:pStyle w:val="BodyText"/>
              <w:jc w:val="center"/>
              <w:rPr>
                <w:sz w:val="22"/>
                <w:szCs w:val="22"/>
              </w:rPr>
            </w:pPr>
            <w:r w:rsidRPr="007F7AEB">
              <w:rPr>
                <w:color w:val="000000"/>
                <w:sz w:val="22"/>
                <w:szCs w:val="22"/>
              </w:rPr>
              <w:t>5.1%</w:t>
            </w:r>
          </w:p>
        </w:tc>
      </w:tr>
      <w:tr w:rsidR="00183E41" w:rsidRPr="0002187D" w14:paraId="24511834" w14:textId="77777777" w:rsidTr="00E75BA0">
        <w:trPr>
          <w:cantSplit/>
          <w:trHeight w:val="288"/>
        </w:trPr>
        <w:tc>
          <w:tcPr>
            <w:tcW w:w="4135" w:type="dxa"/>
            <w:noWrap/>
          </w:tcPr>
          <w:p w14:paraId="610BF538" w14:textId="77777777" w:rsidR="00183E41" w:rsidRPr="007F7AEB" w:rsidRDefault="00183E41" w:rsidP="00E75BA0">
            <w:pPr>
              <w:pStyle w:val="BodyText"/>
              <w:rPr>
                <w:sz w:val="22"/>
                <w:szCs w:val="22"/>
              </w:rPr>
            </w:pPr>
            <w:r w:rsidRPr="007F7AEB">
              <w:rPr>
                <w:color w:val="000000"/>
                <w:sz w:val="22"/>
                <w:szCs w:val="22"/>
              </w:rPr>
              <w:t>Solid tumor without metastasis</w:t>
            </w:r>
          </w:p>
        </w:tc>
        <w:tc>
          <w:tcPr>
            <w:tcW w:w="1980" w:type="dxa"/>
            <w:noWrap/>
            <w:vAlign w:val="center"/>
          </w:tcPr>
          <w:p w14:paraId="22CB4840" w14:textId="77777777" w:rsidR="00183E41" w:rsidRPr="007F7AEB" w:rsidRDefault="00183E41" w:rsidP="00E75BA0">
            <w:pPr>
              <w:pStyle w:val="BodyText"/>
              <w:jc w:val="center"/>
              <w:rPr>
                <w:sz w:val="22"/>
                <w:szCs w:val="22"/>
              </w:rPr>
            </w:pPr>
            <w:r w:rsidRPr="007F7AEB">
              <w:rPr>
                <w:color w:val="000000"/>
                <w:sz w:val="22"/>
                <w:szCs w:val="22"/>
              </w:rPr>
              <w:t>8.0%</w:t>
            </w:r>
          </w:p>
        </w:tc>
        <w:tc>
          <w:tcPr>
            <w:tcW w:w="1980" w:type="dxa"/>
            <w:noWrap/>
            <w:vAlign w:val="center"/>
          </w:tcPr>
          <w:p w14:paraId="6B9F9018" w14:textId="77777777" w:rsidR="00183E41" w:rsidRPr="007F7AEB" w:rsidRDefault="00183E41" w:rsidP="00E75BA0">
            <w:pPr>
              <w:pStyle w:val="BodyText"/>
              <w:jc w:val="center"/>
              <w:rPr>
                <w:sz w:val="22"/>
                <w:szCs w:val="22"/>
              </w:rPr>
            </w:pPr>
            <w:r w:rsidRPr="007F7AEB">
              <w:rPr>
                <w:color w:val="000000"/>
                <w:sz w:val="22"/>
                <w:szCs w:val="22"/>
              </w:rPr>
              <w:t>9.3%</w:t>
            </w:r>
          </w:p>
        </w:tc>
        <w:tc>
          <w:tcPr>
            <w:tcW w:w="1980" w:type="dxa"/>
            <w:noWrap/>
            <w:vAlign w:val="center"/>
          </w:tcPr>
          <w:p w14:paraId="6367E88B" w14:textId="77777777" w:rsidR="00183E41" w:rsidRPr="007F7AEB" w:rsidRDefault="00183E41" w:rsidP="00E75BA0">
            <w:pPr>
              <w:pStyle w:val="BodyText"/>
              <w:jc w:val="center"/>
              <w:rPr>
                <w:sz w:val="22"/>
                <w:szCs w:val="22"/>
              </w:rPr>
            </w:pPr>
            <w:r w:rsidRPr="007F7AEB">
              <w:rPr>
                <w:color w:val="000000"/>
                <w:sz w:val="22"/>
                <w:szCs w:val="22"/>
              </w:rPr>
              <w:t>7.2%</w:t>
            </w:r>
          </w:p>
        </w:tc>
      </w:tr>
    </w:tbl>
    <w:p w14:paraId="561A5875" w14:textId="77777777" w:rsidR="00183E41" w:rsidRDefault="00183E41" w:rsidP="00183E41">
      <w:pPr>
        <w:spacing w:line="264" w:lineRule="auto"/>
        <w:rPr>
          <w:rFonts w:ascii="Arial" w:hAnsi="Arial" w:cs="Arial"/>
          <w:sz w:val="18"/>
          <w:szCs w:val="18"/>
          <w:vertAlign w:val="superscript"/>
        </w:rPr>
      </w:pPr>
      <w:bookmarkStart w:id="25" w:name="_Hlk180413657"/>
      <w:bookmarkEnd w:id="24"/>
      <w:r>
        <w:rPr>
          <w:rFonts w:ascii="Arial" w:hAnsi="Arial" w:cs="Arial"/>
          <w:sz w:val="18"/>
          <w:szCs w:val="18"/>
        </w:rPr>
        <w:t>Abbreviations: IQR, interquartile range</w:t>
      </w:r>
      <w:r w:rsidRPr="0002187D">
        <w:rPr>
          <w:rFonts w:ascii="Arial" w:hAnsi="Arial" w:cs="Arial"/>
          <w:sz w:val="18"/>
          <w:szCs w:val="18"/>
          <w:vertAlign w:val="superscript"/>
        </w:rPr>
        <w:t xml:space="preserve"> </w:t>
      </w:r>
    </w:p>
    <w:p w14:paraId="4BC06AFA" w14:textId="77777777" w:rsidR="00183E41" w:rsidRPr="0002187D" w:rsidRDefault="00183E41" w:rsidP="00183E41">
      <w:pPr>
        <w:spacing w:line="264" w:lineRule="auto"/>
        <w:rPr>
          <w:rFonts w:ascii="Arial" w:hAnsi="Arial" w:cs="Arial"/>
          <w:sz w:val="18"/>
          <w:szCs w:val="18"/>
        </w:rPr>
      </w:pPr>
      <w:r w:rsidRPr="0002187D">
        <w:rPr>
          <w:rFonts w:ascii="Arial" w:hAnsi="Arial" w:cs="Arial"/>
          <w:sz w:val="18"/>
          <w:szCs w:val="18"/>
          <w:vertAlign w:val="superscript"/>
        </w:rPr>
        <w:t>1</w:t>
      </w:r>
      <w:r w:rsidRPr="0002187D">
        <w:rPr>
          <w:rFonts w:ascii="Arial" w:hAnsi="Arial" w:cs="Arial"/>
          <w:sz w:val="18"/>
          <w:szCs w:val="18"/>
        </w:rPr>
        <w:t xml:space="preserve">The </w:t>
      </w:r>
      <w:proofErr w:type="spellStart"/>
      <w:r w:rsidRPr="0002187D">
        <w:rPr>
          <w:rFonts w:ascii="Arial" w:hAnsi="Arial" w:cs="Arial"/>
          <w:sz w:val="18"/>
          <w:szCs w:val="18"/>
        </w:rPr>
        <w:t>Elixhauser</w:t>
      </w:r>
      <w:proofErr w:type="spellEnd"/>
      <w:r w:rsidRPr="0002187D">
        <w:rPr>
          <w:rFonts w:ascii="Arial" w:hAnsi="Arial" w:cs="Arial"/>
          <w:sz w:val="18"/>
          <w:szCs w:val="18"/>
        </w:rPr>
        <w:t xml:space="preserve"> comorbidity index is a composite of 38 comorbidities operationalized by the Agency for Healthcare Research and Quality (AHRQ) to predict 30-day, in-hospital, and 1-year mortality in older adults.</w:t>
      </w:r>
      <w:r w:rsidRPr="0002187D">
        <w:rPr>
          <w:rFonts w:ascii="Arial" w:hAnsi="Arial" w:cs="Arial"/>
          <w:sz w:val="18"/>
          <w:szCs w:val="18"/>
          <w:vertAlign w:val="superscript"/>
        </w:rPr>
        <w:t>75</w:t>
      </w:r>
    </w:p>
    <w:bookmarkEnd w:id="25"/>
    <w:p w14:paraId="2FD4D6EE" w14:textId="77777777" w:rsidR="00183E41" w:rsidRPr="00A07423" w:rsidRDefault="00183E41" w:rsidP="00183E41">
      <w:pPr>
        <w:spacing w:line="264" w:lineRule="auto"/>
        <w:rPr>
          <w:rFonts w:ascii="Arial" w:hAnsi="Arial" w:cs="Arial"/>
          <w:sz w:val="18"/>
          <w:szCs w:val="18"/>
        </w:rPr>
      </w:pPr>
      <w:r>
        <w:rPr>
          <w:rFonts w:ascii="Arial" w:hAnsi="Arial" w:cs="Arial"/>
          <w:sz w:val="18"/>
          <w:szCs w:val="18"/>
        </w:rPr>
        <w:t>*</w:t>
      </w:r>
      <w:proofErr w:type="gramStart"/>
      <w:r>
        <w:rPr>
          <w:rFonts w:ascii="Arial" w:hAnsi="Arial" w:cs="Arial"/>
          <w:sz w:val="18"/>
          <w:szCs w:val="18"/>
        </w:rPr>
        <w:t>cells</w:t>
      </w:r>
      <w:proofErr w:type="gramEnd"/>
      <w:r>
        <w:rPr>
          <w:rFonts w:ascii="Arial" w:hAnsi="Arial" w:cs="Arial"/>
          <w:sz w:val="18"/>
          <w:szCs w:val="18"/>
        </w:rPr>
        <w:t xml:space="preserve"> intentionally left empty</w:t>
      </w:r>
    </w:p>
    <w:p w14:paraId="134647B3" w14:textId="77777777" w:rsidR="00183E41" w:rsidRPr="0002187D" w:rsidRDefault="00183E41" w:rsidP="00183E41">
      <w:pPr>
        <w:spacing w:line="264" w:lineRule="auto"/>
        <w:rPr>
          <w:rFonts w:ascii="Arial" w:hAnsi="Arial" w:cs="Arial"/>
          <w:sz w:val="22"/>
          <w:szCs w:val="22"/>
        </w:rPr>
      </w:pPr>
    </w:p>
    <w:p w14:paraId="0A394C56" w14:textId="77777777" w:rsidR="00183E41" w:rsidRPr="00423C5B" w:rsidRDefault="00183E41" w:rsidP="00183E41">
      <w:pPr>
        <w:spacing w:line="264" w:lineRule="auto"/>
        <w:rPr>
          <w:rFonts w:ascii="Arial" w:hAnsi="Arial" w:cs="Arial"/>
        </w:rPr>
      </w:pPr>
      <w:r w:rsidRPr="00423C5B">
        <w:rPr>
          <w:rFonts w:ascii="Arial" w:hAnsi="Arial" w:cs="Arial"/>
        </w:rPr>
        <w:br w:type="page"/>
      </w:r>
    </w:p>
    <w:p w14:paraId="53323C75" w14:textId="3755C599" w:rsidR="00183E41" w:rsidRPr="00423C5B" w:rsidRDefault="00183E41" w:rsidP="00183E41">
      <w:pPr>
        <w:rPr>
          <w:rFonts w:ascii="Arial" w:hAnsi="Arial" w:cs="Arial"/>
        </w:rPr>
      </w:pPr>
      <w:r w:rsidRPr="00CF1C86">
        <w:rPr>
          <w:rFonts w:ascii="Arial" w:hAnsi="Arial" w:cs="Arial"/>
          <w:b/>
          <w:bCs/>
          <w:sz w:val="22"/>
          <w:szCs w:val="22"/>
        </w:rPr>
        <w:lastRenderedPageBreak/>
        <w:t>Table 1</w:t>
      </w:r>
      <w:r w:rsidR="00D271BC">
        <w:rPr>
          <w:rFonts w:ascii="Arial" w:hAnsi="Arial" w:cs="Arial"/>
          <w:b/>
          <w:bCs/>
          <w:sz w:val="22"/>
          <w:szCs w:val="22"/>
        </w:rPr>
        <w:t>6</w:t>
      </w:r>
      <w:r w:rsidRPr="00CF1C86">
        <w:rPr>
          <w:rFonts w:ascii="Arial" w:hAnsi="Arial" w:cs="Arial"/>
          <w:b/>
          <w:bCs/>
          <w:sz w:val="22"/>
          <w:szCs w:val="22"/>
        </w:rPr>
        <w:t>.</w:t>
      </w:r>
      <w:r w:rsidRPr="00CF1C86">
        <w:rPr>
          <w:rFonts w:ascii="Arial" w:hAnsi="Arial" w:cs="Arial"/>
          <w:sz w:val="22"/>
          <w:szCs w:val="22"/>
        </w:rPr>
        <w:t xml:space="preserve"> Characteristics of the University of Michigan patients in the testing dataset: all eligible patients, patients with excess antibiotic duration, and patients with duration consistent with clinical guidelines.</w:t>
      </w:r>
    </w:p>
    <w:tbl>
      <w:tblPr>
        <w:tblpPr w:leftFromText="187" w:rightFromText="187" w:vertAnchor="text" w:horzAnchor="page" w:tblpXSpec="center" w:tblpY="1"/>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Caption w:val="Table 10. Characteristics of the University of Michigan patients in the testing dataset."/>
        <w:tblDescription w:val="Table 10 shows that University of Michigan patients had a median age of 64, were primariliy white (81%), non-Hispanic (97%) and were evenly split for gender (48% female; 52% male) and had a wide range of co-morbidities. Patients who received excess antibiotic duration (7 or more days) were not appreciably different from those with appropriate duration (&lt;7 days) for demographic or clinical co-morbidities, except patients with excess duration were slightly older (24% vs 50% &lt; 65 years) than patients who received &lt;7 days."/>
      </w:tblPr>
      <w:tblGrid>
        <w:gridCol w:w="4018"/>
        <w:gridCol w:w="1959"/>
        <w:gridCol w:w="1959"/>
        <w:gridCol w:w="1959"/>
      </w:tblGrid>
      <w:tr w:rsidR="00183E41" w:rsidRPr="00423C5B" w14:paraId="648C9BDC" w14:textId="77777777" w:rsidTr="00E75BA0">
        <w:trPr>
          <w:cantSplit/>
          <w:trHeight w:val="145"/>
          <w:tblHeader/>
        </w:trPr>
        <w:tc>
          <w:tcPr>
            <w:tcW w:w="4018" w:type="dxa"/>
            <w:shd w:val="clear" w:color="auto" w:fill="FFFFFF"/>
            <w:tcMar>
              <w:left w:w="19" w:type="dxa"/>
              <w:right w:w="19" w:type="dxa"/>
            </w:tcMar>
            <w:vAlign w:val="center"/>
          </w:tcPr>
          <w:p w14:paraId="49463DB4" w14:textId="77777777" w:rsidR="00183E41" w:rsidRPr="007F7AEB" w:rsidRDefault="00183E41" w:rsidP="00E75BA0">
            <w:pPr>
              <w:keepNext/>
              <w:adjustRightInd w:val="0"/>
              <w:spacing w:before="19" w:after="19" w:line="240" w:lineRule="auto"/>
              <w:rPr>
                <w:rFonts w:ascii="Arial" w:hAnsi="Arial" w:cs="Arial"/>
                <w:b/>
                <w:bCs/>
                <w:color w:val="000000"/>
                <w:sz w:val="22"/>
                <w:szCs w:val="22"/>
              </w:rPr>
            </w:pPr>
            <w:r w:rsidRPr="007F7AEB">
              <w:rPr>
                <w:rFonts w:ascii="Arial" w:hAnsi="Arial" w:cs="Arial"/>
                <w:b/>
                <w:bCs/>
                <w:color w:val="000000"/>
                <w:sz w:val="22"/>
                <w:szCs w:val="22"/>
              </w:rPr>
              <w:t>Variable</w:t>
            </w:r>
          </w:p>
        </w:tc>
        <w:tc>
          <w:tcPr>
            <w:tcW w:w="1959" w:type="dxa"/>
            <w:shd w:val="clear" w:color="auto" w:fill="FFFFFF"/>
            <w:vAlign w:val="center"/>
          </w:tcPr>
          <w:p w14:paraId="26B9FD21" w14:textId="77777777" w:rsidR="00183E41" w:rsidRPr="007F7AEB" w:rsidRDefault="00183E41" w:rsidP="00E75BA0">
            <w:pPr>
              <w:keepNext/>
              <w:adjustRightInd w:val="0"/>
              <w:spacing w:before="19" w:after="19" w:line="240" w:lineRule="auto"/>
              <w:jc w:val="center"/>
              <w:rPr>
                <w:rFonts w:ascii="Arial" w:hAnsi="Arial" w:cs="Arial"/>
                <w:b/>
                <w:bCs/>
                <w:color w:val="000000"/>
                <w:sz w:val="22"/>
                <w:szCs w:val="22"/>
              </w:rPr>
            </w:pPr>
            <w:r w:rsidRPr="007F7AEB">
              <w:rPr>
                <w:rFonts w:ascii="Arial" w:hAnsi="Arial" w:cs="Arial"/>
                <w:b/>
                <w:bCs/>
                <w:color w:val="000000"/>
                <w:sz w:val="22"/>
                <w:szCs w:val="22"/>
              </w:rPr>
              <w:t>All Eligible Patients                                     n=</w:t>
            </w:r>
            <w:r w:rsidRPr="007F7AEB">
              <w:rPr>
                <w:rFonts w:ascii="Arial" w:hAnsi="Arial" w:cs="Arial"/>
                <w:b/>
                <w:bCs/>
                <w:sz w:val="22"/>
                <w:szCs w:val="22"/>
              </w:rPr>
              <w:t>3,417</w:t>
            </w:r>
          </w:p>
        </w:tc>
        <w:tc>
          <w:tcPr>
            <w:tcW w:w="1959" w:type="dxa"/>
            <w:shd w:val="clear" w:color="auto" w:fill="FFFFFF"/>
            <w:tcMar>
              <w:left w:w="19" w:type="dxa"/>
              <w:right w:w="19" w:type="dxa"/>
            </w:tcMar>
            <w:vAlign w:val="center"/>
          </w:tcPr>
          <w:p w14:paraId="4830B38E" w14:textId="77777777" w:rsidR="00183E41" w:rsidRPr="007F7AEB" w:rsidRDefault="00183E41" w:rsidP="00E75BA0">
            <w:pPr>
              <w:keepNext/>
              <w:adjustRightInd w:val="0"/>
              <w:spacing w:before="19" w:after="19" w:line="240" w:lineRule="auto"/>
              <w:jc w:val="center"/>
              <w:rPr>
                <w:rFonts w:ascii="Arial" w:hAnsi="Arial" w:cs="Arial"/>
                <w:b/>
                <w:bCs/>
                <w:color w:val="000000"/>
                <w:sz w:val="22"/>
                <w:szCs w:val="22"/>
              </w:rPr>
            </w:pPr>
            <w:r w:rsidRPr="007F7AEB">
              <w:rPr>
                <w:rFonts w:ascii="Arial" w:hAnsi="Arial" w:cs="Arial"/>
                <w:b/>
                <w:bCs/>
                <w:color w:val="000000"/>
                <w:sz w:val="22"/>
                <w:szCs w:val="22"/>
              </w:rPr>
              <w:t>Duration ≥ 7 Days</w:t>
            </w:r>
          </w:p>
          <w:p w14:paraId="0F651CE4" w14:textId="77777777" w:rsidR="00183E41" w:rsidRDefault="00183E41" w:rsidP="00E75BA0">
            <w:pPr>
              <w:keepNext/>
              <w:adjustRightInd w:val="0"/>
              <w:spacing w:before="19" w:after="19" w:line="240" w:lineRule="auto"/>
              <w:jc w:val="center"/>
              <w:rPr>
                <w:rFonts w:ascii="Arial" w:hAnsi="Arial" w:cs="Arial"/>
                <w:b/>
                <w:bCs/>
                <w:color w:val="000000"/>
                <w:sz w:val="22"/>
                <w:szCs w:val="22"/>
              </w:rPr>
            </w:pPr>
            <w:r w:rsidRPr="007F7AEB">
              <w:rPr>
                <w:rFonts w:ascii="Arial" w:hAnsi="Arial" w:cs="Arial"/>
                <w:b/>
                <w:bCs/>
                <w:color w:val="000000"/>
                <w:sz w:val="22"/>
                <w:szCs w:val="22"/>
              </w:rPr>
              <w:t xml:space="preserve">n=1,861 </w:t>
            </w:r>
          </w:p>
          <w:p w14:paraId="35120330" w14:textId="77777777" w:rsidR="00183E41" w:rsidRPr="007F7AEB" w:rsidRDefault="00183E41" w:rsidP="00E75BA0">
            <w:pPr>
              <w:keepNext/>
              <w:adjustRightInd w:val="0"/>
              <w:spacing w:before="19" w:after="19" w:line="240" w:lineRule="auto"/>
              <w:jc w:val="center"/>
              <w:rPr>
                <w:rFonts w:ascii="Arial" w:hAnsi="Arial" w:cs="Arial"/>
                <w:b/>
                <w:bCs/>
                <w:color w:val="000000"/>
                <w:sz w:val="22"/>
                <w:szCs w:val="22"/>
              </w:rPr>
            </w:pPr>
            <w:r w:rsidRPr="007F7AEB">
              <w:rPr>
                <w:rFonts w:ascii="Arial" w:hAnsi="Arial" w:cs="Arial"/>
                <w:b/>
                <w:bCs/>
                <w:color w:val="000000"/>
                <w:sz w:val="22"/>
                <w:szCs w:val="22"/>
              </w:rPr>
              <w:t>(54.5%)</w:t>
            </w:r>
          </w:p>
        </w:tc>
        <w:tc>
          <w:tcPr>
            <w:tcW w:w="1959" w:type="dxa"/>
            <w:shd w:val="clear" w:color="auto" w:fill="FFFFFF"/>
            <w:tcMar>
              <w:left w:w="19" w:type="dxa"/>
              <w:right w:w="19" w:type="dxa"/>
            </w:tcMar>
            <w:vAlign w:val="center"/>
          </w:tcPr>
          <w:p w14:paraId="0F11104C" w14:textId="77777777" w:rsidR="00183E41" w:rsidRDefault="00183E41" w:rsidP="00E75BA0">
            <w:pPr>
              <w:keepNext/>
              <w:adjustRightInd w:val="0"/>
              <w:spacing w:before="19" w:after="19" w:line="240" w:lineRule="auto"/>
              <w:jc w:val="center"/>
              <w:rPr>
                <w:rFonts w:ascii="Arial" w:hAnsi="Arial" w:cs="Arial"/>
                <w:b/>
                <w:bCs/>
                <w:color w:val="000000"/>
                <w:sz w:val="22"/>
                <w:szCs w:val="22"/>
              </w:rPr>
            </w:pPr>
            <w:r w:rsidRPr="007F7AEB">
              <w:rPr>
                <w:rFonts w:ascii="Arial" w:hAnsi="Arial" w:cs="Arial"/>
                <w:b/>
                <w:bCs/>
                <w:color w:val="000000"/>
                <w:sz w:val="22"/>
                <w:szCs w:val="22"/>
              </w:rPr>
              <w:t xml:space="preserve">Duration &lt; 7 Days n=1,556 </w:t>
            </w:r>
          </w:p>
          <w:p w14:paraId="1CAAEE81" w14:textId="77777777" w:rsidR="00183E41" w:rsidRPr="007F7AEB" w:rsidRDefault="00183E41" w:rsidP="00E75BA0">
            <w:pPr>
              <w:keepNext/>
              <w:adjustRightInd w:val="0"/>
              <w:spacing w:before="19" w:after="19" w:line="240" w:lineRule="auto"/>
              <w:jc w:val="center"/>
              <w:rPr>
                <w:rFonts w:ascii="Arial" w:hAnsi="Arial" w:cs="Arial"/>
                <w:b/>
                <w:bCs/>
                <w:color w:val="000000"/>
                <w:sz w:val="22"/>
                <w:szCs w:val="22"/>
              </w:rPr>
            </w:pPr>
            <w:r w:rsidRPr="007F7AEB">
              <w:rPr>
                <w:rFonts w:ascii="Arial" w:hAnsi="Arial" w:cs="Arial"/>
                <w:b/>
                <w:bCs/>
                <w:color w:val="000000"/>
                <w:sz w:val="22"/>
                <w:szCs w:val="22"/>
              </w:rPr>
              <w:t>45.5%</w:t>
            </w:r>
          </w:p>
        </w:tc>
      </w:tr>
      <w:tr w:rsidR="00183E41" w:rsidRPr="00423C5B" w14:paraId="057304E0" w14:textId="77777777" w:rsidTr="00E75BA0">
        <w:trPr>
          <w:cantSplit/>
          <w:trHeight w:val="145"/>
        </w:trPr>
        <w:tc>
          <w:tcPr>
            <w:tcW w:w="4018" w:type="dxa"/>
            <w:shd w:val="clear" w:color="auto" w:fill="FFFFFF"/>
            <w:tcMar>
              <w:left w:w="19" w:type="dxa"/>
              <w:right w:w="19" w:type="dxa"/>
            </w:tcMar>
            <w:vAlign w:val="center"/>
          </w:tcPr>
          <w:p w14:paraId="01442E54" w14:textId="77777777" w:rsidR="00183E41" w:rsidRPr="000B7C6D" w:rsidRDefault="00183E41" w:rsidP="00E75BA0">
            <w:pPr>
              <w:adjustRightInd w:val="0"/>
              <w:spacing w:before="19" w:after="19" w:line="240" w:lineRule="auto"/>
              <w:rPr>
                <w:rFonts w:ascii="Arial" w:hAnsi="Arial" w:cs="Arial"/>
                <w:color w:val="000000"/>
                <w:sz w:val="22"/>
                <w:szCs w:val="22"/>
              </w:rPr>
            </w:pPr>
            <w:r w:rsidRPr="000B7C6D">
              <w:rPr>
                <w:rFonts w:ascii="Arial" w:hAnsi="Arial" w:cs="Arial"/>
                <w:color w:val="000000"/>
                <w:sz w:val="22"/>
                <w:szCs w:val="22"/>
              </w:rPr>
              <w:t xml:space="preserve">Age </w:t>
            </w:r>
            <w:r>
              <w:rPr>
                <w:rFonts w:ascii="Arial" w:hAnsi="Arial" w:cs="Arial"/>
                <w:color w:val="000000"/>
                <w:sz w:val="22"/>
                <w:szCs w:val="22"/>
              </w:rPr>
              <w:t>m</w:t>
            </w:r>
            <w:r w:rsidRPr="000B7C6D">
              <w:rPr>
                <w:rFonts w:ascii="Arial" w:hAnsi="Arial" w:cs="Arial"/>
                <w:color w:val="000000"/>
                <w:sz w:val="22"/>
                <w:szCs w:val="22"/>
              </w:rPr>
              <w:t>edian (IQR)</w:t>
            </w:r>
          </w:p>
        </w:tc>
        <w:tc>
          <w:tcPr>
            <w:tcW w:w="1959" w:type="dxa"/>
            <w:shd w:val="clear" w:color="auto" w:fill="FFFFFF"/>
            <w:vAlign w:val="center"/>
          </w:tcPr>
          <w:p w14:paraId="2FB1F31B"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64 (52-75)</w:t>
            </w:r>
          </w:p>
        </w:tc>
        <w:tc>
          <w:tcPr>
            <w:tcW w:w="1959" w:type="dxa"/>
            <w:shd w:val="clear" w:color="auto" w:fill="FFFFFF"/>
            <w:tcMar>
              <w:left w:w="19" w:type="dxa"/>
              <w:right w:w="19" w:type="dxa"/>
            </w:tcMar>
            <w:vAlign w:val="center"/>
          </w:tcPr>
          <w:p w14:paraId="58C81B30"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64 (51-74)</w:t>
            </w:r>
          </w:p>
        </w:tc>
        <w:tc>
          <w:tcPr>
            <w:tcW w:w="1959" w:type="dxa"/>
            <w:shd w:val="clear" w:color="auto" w:fill="FFFFFF"/>
            <w:tcMar>
              <w:left w:w="19" w:type="dxa"/>
              <w:right w:w="19" w:type="dxa"/>
            </w:tcMar>
            <w:vAlign w:val="center"/>
          </w:tcPr>
          <w:p w14:paraId="0FC7F79D"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64 (52-76)</w:t>
            </w:r>
          </w:p>
        </w:tc>
      </w:tr>
      <w:tr w:rsidR="00183E41" w:rsidRPr="00423C5B" w14:paraId="7103071A" w14:textId="77777777" w:rsidTr="00E75BA0">
        <w:trPr>
          <w:cantSplit/>
          <w:trHeight w:val="145"/>
        </w:trPr>
        <w:tc>
          <w:tcPr>
            <w:tcW w:w="4018" w:type="dxa"/>
            <w:shd w:val="clear" w:color="auto" w:fill="FFFFFF"/>
            <w:tcMar>
              <w:left w:w="19" w:type="dxa"/>
              <w:right w:w="19" w:type="dxa"/>
            </w:tcMar>
          </w:tcPr>
          <w:p w14:paraId="288EB9C0"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&lt;65 years</w:t>
            </w:r>
          </w:p>
        </w:tc>
        <w:tc>
          <w:tcPr>
            <w:tcW w:w="1959" w:type="dxa"/>
            <w:shd w:val="clear" w:color="auto" w:fill="FFFFFF"/>
            <w:vAlign w:val="center"/>
          </w:tcPr>
          <w:p w14:paraId="0678D352"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1736 (50.8%)</w:t>
            </w:r>
          </w:p>
        </w:tc>
        <w:tc>
          <w:tcPr>
            <w:tcW w:w="1959" w:type="dxa"/>
            <w:shd w:val="clear" w:color="auto" w:fill="FFFFFF"/>
            <w:tcMar>
              <w:left w:w="19" w:type="dxa"/>
              <w:right w:w="19" w:type="dxa"/>
            </w:tcMar>
            <w:vAlign w:val="center"/>
          </w:tcPr>
          <w:p w14:paraId="644F98B9"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953 (24.0%)</w:t>
            </w:r>
          </w:p>
        </w:tc>
        <w:tc>
          <w:tcPr>
            <w:tcW w:w="1959" w:type="dxa"/>
            <w:shd w:val="clear" w:color="auto" w:fill="FFFFFF"/>
            <w:tcMar>
              <w:left w:w="19" w:type="dxa"/>
              <w:right w:w="19" w:type="dxa"/>
            </w:tcMar>
            <w:vAlign w:val="center"/>
          </w:tcPr>
          <w:p w14:paraId="5CA2EA4A"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783 (50.3%)</w:t>
            </w:r>
          </w:p>
        </w:tc>
      </w:tr>
      <w:tr w:rsidR="00183E41" w:rsidRPr="00423C5B" w14:paraId="0D543D3C" w14:textId="77777777" w:rsidTr="00E75BA0">
        <w:trPr>
          <w:cantSplit/>
          <w:trHeight w:val="145"/>
        </w:trPr>
        <w:tc>
          <w:tcPr>
            <w:tcW w:w="4018" w:type="dxa"/>
            <w:shd w:val="clear" w:color="auto" w:fill="FFFFFF"/>
            <w:tcMar>
              <w:left w:w="19" w:type="dxa"/>
              <w:right w:w="19" w:type="dxa"/>
            </w:tcMar>
          </w:tcPr>
          <w:p w14:paraId="1C3451B4"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sz w:val="22"/>
                <w:szCs w:val="22"/>
              </w:rPr>
              <w:t>65-74 years</w:t>
            </w:r>
          </w:p>
        </w:tc>
        <w:tc>
          <w:tcPr>
            <w:tcW w:w="1959" w:type="dxa"/>
            <w:shd w:val="clear" w:color="auto" w:fill="FFFFFF"/>
            <w:vAlign w:val="center"/>
          </w:tcPr>
          <w:p w14:paraId="1E2F378A"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792 (23.2%)</w:t>
            </w:r>
          </w:p>
        </w:tc>
        <w:tc>
          <w:tcPr>
            <w:tcW w:w="1959" w:type="dxa"/>
            <w:shd w:val="clear" w:color="auto" w:fill="FFFFFF"/>
            <w:tcMar>
              <w:left w:w="19" w:type="dxa"/>
              <w:right w:w="19" w:type="dxa"/>
            </w:tcMar>
            <w:vAlign w:val="center"/>
          </w:tcPr>
          <w:p w14:paraId="1472781C"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446 (24.0%)</w:t>
            </w:r>
          </w:p>
        </w:tc>
        <w:tc>
          <w:tcPr>
            <w:tcW w:w="1959" w:type="dxa"/>
            <w:shd w:val="clear" w:color="auto" w:fill="FFFFFF"/>
            <w:tcMar>
              <w:left w:w="19" w:type="dxa"/>
              <w:right w:w="19" w:type="dxa"/>
            </w:tcMar>
            <w:vAlign w:val="center"/>
          </w:tcPr>
          <w:p w14:paraId="06768EE3"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346 (22.2%)</w:t>
            </w:r>
          </w:p>
        </w:tc>
      </w:tr>
      <w:tr w:rsidR="00183E41" w:rsidRPr="00423C5B" w14:paraId="13EBA4C4" w14:textId="77777777" w:rsidTr="00E75BA0">
        <w:trPr>
          <w:cantSplit/>
          <w:trHeight w:val="145"/>
        </w:trPr>
        <w:tc>
          <w:tcPr>
            <w:tcW w:w="4018" w:type="dxa"/>
            <w:shd w:val="clear" w:color="auto" w:fill="FFFFFF"/>
            <w:tcMar>
              <w:left w:w="19" w:type="dxa"/>
              <w:right w:w="19" w:type="dxa"/>
            </w:tcMar>
          </w:tcPr>
          <w:p w14:paraId="73BDE50F"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sz w:val="22"/>
                <w:szCs w:val="22"/>
                <w:u w:val="single"/>
              </w:rPr>
              <w:t>&gt;</w:t>
            </w:r>
            <w:r w:rsidRPr="000B7C6D">
              <w:rPr>
                <w:rFonts w:ascii="Arial" w:hAnsi="Arial" w:cs="Arial"/>
                <w:sz w:val="22"/>
                <w:szCs w:val="22"/>
              </w:rPr>
              <w:t xml:space="preserve"> 75 years </w:t>
            </w:r>
          </w:p>
        </w:tc>
        <w:tc>
          <w:tcPr>
            <w:tcW w:w="1959" w:type="dxa"/>
            <w:shd w:val="clear" w:color="auto" w:fill="FFFFFF"/>
            <w:vAlign w:val="center"/>
          </w:tcPr>
          <w:p w14:paraId="57096E7A" w14:textId="77777777" w:rsidR="00183E41" w:rsidRPr="000B7C6D" w:rsidRDefault="00183E41" w:rsidP="00E75BA0">
            <w:pPr>
              <w:adjustRightInd w:val="0"/>
              <w:spacing w:before="19" w:after="19" w:line="240" w:lineRule="auto"/>
              <w:jc w:val="center"/>
              <w:rPr>
                <w:rFonts w:ascii="Arial" w:hAnsi="Arial" w:cs="Arial"/>
                <w:sz w:val="22"/>
                <w:szCs w:val="22"/>
              </w:rPr>
            </w:pPr>
            <w:r w:rsidRPr="000B7C6D">
              <w:rPr>
                <w:rFonts w:ascii="Arial" w:hAnsi="Arial" w:cs="Arial"/>
                <w:sz w:val="22"/>
                <w:szCs w:val="22"/>
              </w:rPr>
              <w:t>889 (26.0%)</w:t>
            </w:r>
          </w:p>
        </w:tc>
        <w:tc>
          <w:tcPr>
            <w:tcW w:w="1959" w:type="dxa"/>
            <w:shd w:val="clear" w:color="auto" w:fill="FFFFFF"/>
            <w:tcMar>
              <w:left w:w="19" w:type="dxa"/>
              <w:right w:w="19" w:type="dxa"/>
            </w:tcMar>
            <w:vAlign w:val="center"/>
          </w:tcPr>
          <w:p w14:paraId="1FE02C3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462 (24.8%)</w:t>
            </w:r>
          </w:p>
        </w:tc>
        <w:tc>
          <w:tcPr>
            <w:tcW w:w="1959" w:type="dxa"/>
            <w:shd w:val="clear" w:color="auto" w:fill="FFFFFF"/>
            <w:tcMar>
              <w:left w:w="19" w:type="dxa"/>
              <w:right w:w="19" w:type="dxa"/>
            </w:tcMar>
            <w:vAlign w:val="center"/>
          </w:tcPr>
          <w:p w14:paraId="760E0BE7"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427 (27.4%)</w:t>
            </w:r>
          </w:p>
        </w:tc>
      </w:tr>
      <w:tr w:rsidR="00183E41" w:rsidRPr="00423C5B" w14:paraId="5F50AEAE" w14:textId="77777777" w:rsidTr="00E75BA0">
        <w:trPr>
          <w:cantSplit/>
          <w:trHeight w:val="145"/>
        </w:trPr>
        <w:tc>
          <w:tcPr>
            <w:tcW w:w="4018" w:type="dxa"/>
            <w:shd w:val="clear" w:color="auto" w:fill="FFFFFF"/>
            <w:tcMar>
              <w:left w:w="19" w:type="dxa"/>
              <w:right w:w="19" w:type="dxa"/>
            </w:tcMar>
          </w:tcPr>
          <w:p w14:paraId="521CB2D1" w14:textId="77777777" w:rsidR="00183E41" w:rsidRPr="000B7C6D" w:rsidRDefault="00183E41" w:rsidP="00E75BA0">
            <w:pPr>
              <w:adjustRightInd w:val="0"/>
              <w:spacing w:before="19" w:after="19" w:line="240" w:lineRule="auto"/>
              <w:rPr>
                <w:rFonts w:ascii="Arial" w:hAnsi="Arial" w:cs="Arial"/>
                <w:color w:val="000000"/>
                <w:sz w:val="22"/>
                <w:szCs w:val="22"/>
              </w:rPr>
            </w:pPr>
            <w:r w:rsidRPr="000B7C6D">
              <w:rPr>
                <w:rFonts w:ascii="Arial" w:hAnsi="Arial" w:cs="Arial"/>
                <w:color w:val="000000"/>
                <w:sz w:val="22"/>
                <w:szCs w:val="22"/>
              </w:rPr>
              <w:t>Gender</w:t>
            </w:r>
            <w:r>
              <w:rPr>
                <w:rFonts w:ascii="Arial" w:hAnsi="Arial" w:cs="Arial"/>
                <w:color w:val="000000"/>
                <w:sz w:val="22"/>
                <w:szCs w:val="22"/>
              </w:rPr>
              <w:t>, n (%)</w:t>
            </w:r>
          </w:p>
        </w:tc>
        <w:tc>
          <w:tcPr>
            <w:tcW w:w="1959" w:type="dxa"/>
            <w:shd w:val="clear" w:color="auto" w:fill="FFFFFF"/>
            <w:vAlign w:val="center"/>
          </w:tcPr>
          <w:p w14:paraId="3204DDEF"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7FC2E3C6"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72A92DD8"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r>
      <w:tr w:rsidR="00183E41" w:rsidRPr="00423C5B" w14:paraId="7B94A9B4" w14:textId="77777777" w:rsidTr="00E75BA0">
        <w:trPr>
          <w:cantSplit/>
          <w:trHeight w:val="145"/>
        </w:trPr>
        <w:tc>
          <w:tcPr>
            <w:tcW w:w="4018" w:type="dxa"/>
            <w:shd w:val="clear" w:color="auto" w:fill="FFFFFF"/>
            <w:tcMar>
              <w:left w:w="19" w:type="dxa"/>
              <w:right w:w="19" w:type="dxa"/>
            </w:tcMar>
          </w:tcPr>
          <w:p w14:paraId="354A22C0"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 xml:space="preserve">Female </w:t>
            </w:r>
          </w:p>
        </w:tc>
        <w:tc>
          <w:tcPr>
            <w:tcW w:w="1959" w:type="dxa"/>
            <w:shd w:val="clear" w:color="auto" w:fill="FFFFFF"/>
            <w:vAlign w:val="center"/>
          </w:tcPr>
          <w:p w14:paraId="7823FBE9"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1646 (48.2%)</w:t>
            </w:r>
          </w:p>
        </w:tc>
        <w:tc>
          <w:tcPr>
            <w:tcW w:w="1959" w:type="dxa"/>
            <w:shd w:val="clear" w:color="auto" w:fill="FFFFFF"/>
            <w:tcMar>
              <w:left w:w="19" w:type="dxa"/>
              <w:right w:w="19" w:type="dxa"/>
            </w:tcMar>
            <w:vAlign w:val="center"/>
          </w:tcPr>
          <w:p w14:paraId="17840385"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879 (47.2%)</w:t>
            </w:r>
          </w:p>
        </w:tc>
        <w:tc>
          <w:tcPr>
            <w:tcW w:w="1959" w:type="dxa"/>
            <w:shd w:val="clear" w:color="auto" w:fill="FFFFFF"/>
            <w:tcMar>
              <w:left w:w="19" w:type="dxa"/>
              <w:right w:w="19" w:type="dxa"/>
            </w:tcMar>
            <w:vAlign w:val="center"/>
          </w:tcPr>
          <w:p w14:paraId="3E87D21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767 (49.3%)</w:t>
            </w:r>
          </w:p>
        </w:tc>
      </w:tr>
      <w:tr w:rsidR="00183E41" w:rsidRPr="00423C5B" w14:paraId="5762087A" w14:textId="77777777" w:rsidTr="00E75BA0">
        <w:trPr>
          <w:cantSplit/>
          <w:trHeight w:val="145"/>
        </w:trPr>
        <w:tc>
          <w:tcPr>
            <w:tcW w:w="4018" w:type="dxa"/>
            <w:shd w:val="clear" w:color="auto" w:fill="FFFFFF"/>
            <w:tcMar>
              <w:left w:w="19" w:type="dxa"/>
              <w:right w:w="19" w:type="dxa"/>
            </w:tcMar>
          </w:tcPr>
          <w:p w14:paraId="113F524F"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Male</w:t>
            </w:r>
          </w:p>
        </w:tc>
        <w:tc>
          <w:tcPr>
            <w:tcW w:w="1959" w:type="dxa"/>
            <w:shd w:val="clear" w:color="auto" w:fill="FFFFFF"/>
            <w:vAlign w:val="center"/>
          </w:tcPr>
          <w:p w14:paraId="4545542D"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1771 (51.8%)</w:t>
            </w:r>
          </w:p>
        </w:tc>
        <w:tc>
          <w:tcPr>
            <w:tcW w:w="1959" w:type="dxa"/>
            <w:shd w:val="clear" w:color="auto" w:fill="FFFFFF"/>
            <w:tcMar>
              <w:left w:w="19" w:type="dxa"/>
              <w:right w:w="19" w:type="dxa"/>
            </w:tcMar>
            <w:vAlign w:val="center"/>
          </w:tcPr>
          <w:p w14:paraId="0FBB1406"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982 (52.8%)</w:t>
            </w:r>
          </w:p>
        </w:tc>
        <w:tc>
          <w:tcPr>
            <w:tcW w:w="1959" w:type="dxa"/>
            <w:shd w:val="clear" w:color="auto" w:fill="FFFFFF"/>
            <w:tcMar>
              <w:left w:w="19" w:type="dxa"/>
              <w:right w:w="19" w:type="dxa"/>
            </w:tcMar>
            <w:vAlign w:val="center"/>
          </w:tcPr>
          <w:p w14:paraId="16FBDD35"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789 (50.7%)</w:t>
            </w:r>
          </w:p>
        </w:tc>
      </w:tr>
      <w:tr w:rsidR="00183E41" w:rsidRPr="00423C5B" w14:paraId="344FACBA" w14:textId="77777777" w:rsidTr="00E75BA0">
        <w:trPr>
          <w:cantSplit/>
          <w:trHeight w:val="145"/>
        </w:trPr>
        <w:tc>
          <w:tcPr>
            <w:tcW w:w="4018" w:type="dxa"/>
            <w:shd w:val="clear" w:color="auto" w:fill="FFFFFF"/>
            <w:tcMar>
              <w:left w:w="19" w:type="dxa"/>
              <w:right w:w="19" w:type="dxa"/>
            </w:tcMar>
          </w:tcPr>
          <w:p w14:paraId="66EC226F" w14:textId="77777777" w:rsidR="00183E41" w:rsidRPr="000B7C6D" w:rsidRDefault="00183E41" w:rsidP="00E75BA0">
            <w:pPr>
              <w:adjustRightInd w:val="0"/>
              <w:spacing w:before="19" w:after="19" w:line="240" w:lineRule="auto"/>
              <w:rPr>
                <w:rFonts w:ascii="Arial" w:hAnsi="Arial" w:cs="Arial"/>
                <w:color w:val="000000"/>
                <w:sz w:val="22"/>
                <w:szCs w:val="22"/>
              </w:rPr>
            </w:pPr>
            <w:r w:rsidRPr="000B7C6D">
              <w:rPr>
                <w:rFonts w:ascii="Arial" w:hAnsi="Arial" w:cs="Arial"/>
                <w:color w:val="000000"/>
                <w:sz w:val="22"/>
                <w:szCs w:val="22"/>
              </w:rPr>
              <w:t>Race</w:t>
            </w:r>
            <w:r w:rsidRPr="00C53AA8">
              <w:rPr>
                <w:rFonts w:ascii="Arial" w:hAnsi="Arial" w:cs="Arial"/>
                <w:color w:val="000000"/>
                <w:sz w:val="22"/>
                <w:szCs w:val="22"/>
              </w:rPr>
              <w:t xml:space="preserve"> n(%)</w:t>
            </w:r>
          </w:p>
        </w:tc>
        <w:tc>
          <w:tcPr>
            <w:tcW w:w="1959" w:type="dxa"/>
            <w:shd w:val="clear" w:color="auto" w:fill="FFFFFF"/>
            <w:vAlign w:val="center"/>
          </w:tcPr>
          <w:p w14:paraId="0BF1EEAB"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5B5DD0A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3919F819"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r>
      <w:tr w:rsidR="00183E41" w:rsidRPr="00423C5B" w14:paraId="155FD69F" w14:textId="77777777" w:rsidTr="00E75BA0">
        <w:trPr>
          <w:cantSplit/>
          <w:trHeight w:val="145"/>
        </w:trPr>
        <w:tc>
          <w:tcPr>
            <w:tcW w:w="4018" w:type="dxa"/>
            <w:shd w:val="clear" w:color="auto" w:fill="FFFFFF"/>
            <w:tcMar>
              <w:left w:w="19" w:type="dxa"/>
              <w:right w:w="19" w:type="dxa"/>
            </w:tcMar>
          </w:tcPr>
          <w:p w14:paraId="6FA226A5"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Black</w:t>
            </w:r>
          </w:p>
        </w:tc>
        <w:tc>
          <w:tcPr>
            <w:tcW w:w="1959" w:type="dxa"/>
            <w:shd w:val="clear" w:color="auto" w:fill="FFFFFF"/>
            <w:vAlign w:val="center"/>
          </w:tcPr>
          <w:p w14:paraId="3AB1884B"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455 (13.3%)</w:t>
            </w:r>
          </w:p>
        </w:tc>
        <w:tc>
          <w:tcPr>
            <w:tcW w:w="1959" w:type="dxa"/>
            <w:shd w:val="clear" w:color="auto" w:fill="FFFFFF"/>
            <w:tcMar>
              <w:left w:w="19" w:type="dxa"/>
              <w:right w:w="19" w:type="dxa"/>
            </w:tcMar>
            <w:vAlign w:val="center"/>
          </w:tcPr>
          <w:p w14:paraId="47C684E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224 (12.0%)</w:t>
            </w:r>
          </w:p>
        </w:tc>
        <w:tc>
          <w:tcPr>
            <w:tcW w:w="1959" w:type="dxa"/>
            <w:shd w:val="clear" w:color="auto" w:fill="FFFFFF"/>
            <w:tcMar>
              <w:left w:w="19" w:type="dxa"/>
              <w:right w:w="19" w:type="dxa"/>
            </w:tcMar>
            <w:vAlign w:val="center"/>
          </w:tcPr>
          <w:p w14:paraId="25E6769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231 (14.8%)</w:t>
            </w:r>
          </w:p>
        </w:tc>
      </w:tr>
      <w:tr w:rsidR="00183E41" w:rsidRPr="00423C5B" w14:paraId="6E371436" w14:textId="77777777" w:rsidTr="00E75BA0">
        <w:trPr>
          <w:cantSplit/>
          <w:trHeight w:val="145"/>
        </w:trPr>
        <w:tc>
          <w:tcPr>
            <w:tcW w:w="4018" w:type="dxa"/>
            <w:shd w:val="clear" w:color="auto" w:fill="FFFFFF"/>
            <w:tcMar>
              <w:left w:w="19" w:type="dxa"/>
              <w:right w:w="19" w:type="dxa"/>
            </w:tcMar>
          </w:tcPr>
          <w:p w14:paraId="18B956D9"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sz w:val="22"/>
                <w:szCs w:val="22"/>
              </w:rPr>
              <w:t xml:space="preserve">Other </w:t>
            </w:r>
          </w:p>
        </w:tc>
        <w:tc>
          <w:tcPr>
            <w:tcW w:w="1959" w:type="dxa"/>
            <w:shd w:val="clear" w:color="auto" w:fill="FFFFFF"/>
            <w:vAlign w:val="center"/>
          </w:tcPr>
          <w:p w14:paraId="19458871"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204 (6.0%)</w:t>
            </w:r>
          </w:p>
        </w:tc>
        <w:tc>
          <w:tcPr>
            <w:tcW w:w="1959" w:type="dxa"/>
            <w:shd w:val="clear" w:color="auto" w:fill="FFFFFF"/>
            <w:tcMar>
              <w:left w:w="19" w:type="dxa"/>
              <w:right w:w="19" w:type="dxa"/>
            </w:tcMar>
            <w:vAlign w:val="center"/>
          </w:tcPr>
          <w:p w14:paraId="1B90271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114 (6.1%)</w:t>
            </w:r>
          </w:p>
        </w:tc>
        <w:tc>
          <w:tcPr>
            <w:tcW w:w="1959" w:type="dxa"/>
            <w:shd w:val="clear" w:color="auto" w:fill="FFFFFF"/>
            <w:tcMar>
              <w:left w:w="19" w:type="dxa"/>
              <w:right w:w="19" w:type="dxa"/>
            </w:tcMar>
            <w:vAlign w:val="center"/>
          </w:tcPr>
          <w:p w14:paraId="0437DD72"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90 (5.8%)</w:t>
            </w:r>
          </w:p>
        </w:tc>
      </w:tr>
      <w:tr w:rsidR="00183E41" w:rsidRPr="00423C5B" w14:paraId="2C215F63" w14:textId="77777777" w:rsidTr="00E75BA0">
        <w:trPr>
          <w:cantSplit/>
          <w:trHeight w:val="145"/>
        </w:trPr>
        <w:tc>
          <w:tcPr>
            <w:tcW w:w="4018" w:type="dxa"/>
            <w:shd w:val="clear" w:color="auto" w:fill="FFFFFF"/>
            <w:tcMar>
              <w:left w:w="19" w:type="dxa"/>
              <w:right w:w="19" w:type="dxa"/>
            </w:tcMar>
          </w:tcPr>
          <w:p w14:paraId="520F457D" w14:textId="77777777" w:rsidR="00183E41" w:rsidRPr="000B7C6D" w:rsidRDefault="00183E41" w:rsidP="00E75BA0">
            <w:pPr>
              <w:adjustRightInd w:val="0"/>
              <w:spacing w:before="19" w:after="19" w:line="240" w:lineRule="auto"/>
              <w:ind w:left="288"/>
              <w:rPr>
                <w:rFonts w:ascii="Arial" w:hAnsi="Arial" w:cs="Arial"/>
                <w:sz w:val="22"/>
                <w:szCs w:val="22"/>
              </w:rPr>
            </w:pPr>
            <w:r w:rsidRPr="000B7C6D">
              <w:rPr>
                <w:rFonts w:ascii="Arial" w:hAnsi="Arial" w:cs="Arial"/>
                <w:color w:val="000000"/>
                <w:sz w:val="22"/>
                <w:szCs w:val="22"/>
              </w:rPr>
              <w:t>White</w:t>
            </w:r>
          </w:p>
        </w:tc>
        <w:tc>
          <w:tcPr>
            <w:tcW w:w="1959" w:type="dxa"/>
            <w:shd w:val="clear" w:color="auto" w:fill="FFFFFF"/>
            <w:vAlign w:val="center"/>
          </w:tcPr>
          <w:p w14:paraId="2EE9BF9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2758 (80.7%)</w:t>
            </w:r>
          </w:p>
        </w:tc>
        <w:tc>
          <w:tcPr>
            <w:tcW w:w="1959" w:type="dxa"/>
            <w:shd w:val="clear" w:color="auto" w:fill="FFFFFF"/>
            <w:tcMar>
              <w:left w:w="19" w:type="dxa"/>
              <w:right w:w="19" w:type="dxa"/>
            </w:tcMar>
            <w:vAlign w:val="center"/>
          </w:tcPr>
          <w:p w14:paraId="58674B35"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1523 (81.8%)</w:t>
            </w:r>
          </w:p>
        </w:tc>
        <w:tc>
          <w:tcPr>
            <w:tcW w:w="1959" w:type="dxa"/>
            <w:shd w:val="clear" w:color="auto" w:fill="FFFFFF"/>
            <w:tcMar>
              <w:left w:w="19" w:type="dxa"/>
              <w:right w:w="19" w:type="dxa"/>
            </w:tcMar>
            <w:vAlign w:val="center"/>
          </w:tcPr>
          <w:p w14:paraId="0DBD242C"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1235 (79.4%)</w:t>
            </w:r>
          </w:p>
        </w:tc>
      </w:tr>
      <w:tr w:rsidR="00183E41" w:rsidRPr="00423C5B" w14:paraId="4A29BA7D" w14:textId="77777777" w:rsidTr="00E75BA0">
        <w:trPr>
          <w:cantSplit/>
          <w:trHeight w:val="145"/>
        </w:trPr>
        <w:tc>
          <w:tcPr>
            <w:tcW w:w="4018" w:type="dxa"/>
            <w:shd w:val="clear" w:color="auto" w:fill="FFFFFF"/>
            <w:tcMar>
              <w:left w:w="19" w:type="dxa"/>
              <w:right w:w="19" w:type="dxa"/>
            </w:tcMar>
          </w:tcPr>
          <w:p w14:paraId="175523AC" w14:textId="77777777" w:rsidR="00183E41" w:rsidRPr="000B7C6D" w:rsidRDefault="00183E41" w:rsidP="00E75BA0">
            <w:pPr>
              <w:adjustRightInd w:val="0"/>
              <w:spacing w:before="19" w:after="19" w:line="240" w:lineRule="auto"/>
              <w:rPr>
                <w:rFonts w:ascii="Arial" w:hAnsi="Arial" w:cs="Arial"/>
                <w:sz w:val="22"/>
                <w:szCs w:val="22"/>
              </w:rPr>
            </w:pPr>
            <w:r w:rsidRPr="000B7C6D">
              <w:rPr>
                <w:rFonts w:ascii="Arial" w:hAnsi="Arial" w:cs="Arial"/>
                <w:sz w:val="22"/>
                <w:szCs w:val="22"/>
              </w:rPr>
              <w:t>Ethnicity</w:t>
            </w:r>
            <w:r w:rsidRPr="00C53AA8">
              <w:rPr>
                <w:rFonts w:ascii="Arial" w:hAnsi="Arial" w:cs="Arial"/>
                <w:color w:val="000000"/>
                <w:sz w:val="22"/>
                <w:szCs w:val="22"/>
              </w:rPr>
              <w:t xml:space="preserve"> n(%)</w:t>
            </w:r>
          </w:p>
        </w:tc>
        <w:tc>
          <w:tcPr>
            <w:tcW w:w="1959" w:type="dxa"/>
            <w:shd w:val="clear" w:color="auto" w:fill="FFFFFF"/>
            <w:vAlign w:val="center"/>
          </w:tcPr>
          <w:p w14:paraId="384634A2"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785DF8B3"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481AE0AA"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r>
      <w:tr w:rsidR="00183E41" w:rsidRPr="00423C5B" w14:paraId="1599A10B" w14:textId="77777777" w:rsidTr="00E75BA0">
        <w:trPr>
          <w:cantSplit/>
          <w:trHeight w:val="145"/>
        </w:trPr>
        <w:tc>
          <w:tcPr>
            <w:tcW w:w="4018" w:type="dxa"/>
            <w:shd w:val="clear" w:color="auto" w:fill="FFFFFF"/>
            <w:tcMar>
              <w:left w:w="19" w:type="dxa"/>
              <w:right w:w="19" w:type="dxa"/>
            </w:tcMar>
          </w:tcPr>
          <w:p w14:paraId="3DE43A5B"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Hispanic</w:t>
            </w:r>
          </w:p>
        </w:tc>
        <w:tc>
          <w:tcPr>
            <w:tcW w:w="1959" w:type="dxa"/>
            <w:shd w:val="clear" w:color="auto" w:fill="FFFFFF"/>
            <w:vAlign w:val="center"/>
          </w:tcPr>
          <w:p w14:paraId="779F92F1"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75 (2.2%)</w:t>
            </w:r>
          </w:p>
        </w:tc>
        <w:tc>
          <w:tcPr>
            <w:tcW w:w="1959" w:type="dxa"/>
            <w:shd w:val="clear" w:color="auto" w:fill="FFFFFF"/>
            <w:tcMar>
              <w:left w:w="19" w:type="dxa"/>
              <w:right w:w="19" w:type="dxa"/>
            </w:tcMar>
            <w:vAlign w:val="center"/>
          </w:tcPr>
          <w:p w14:paraId="3FD5183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35 (1.9%)</w:t>
            </w:r>
          </w:p>
        </w:tc>
        <w:tc>
          <w:tcPr>
            <w:tcW w:w="1959" w:type="dxa"/>
            <w:shd w:val="clear" w:color="auto" w:fill="FFFFFF"/>
            <w:tcMar>
              <w:left w:w="19" w:type="dxa"/>
              <w:right w:w="19" w:type="dxa"/>
            </w:tcMar>
            <w:vAlign w:val="center"/>
          </w:tcPr>
          <w:p w14:paraId="6D0FE38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40 (2.6%)</w:t>
            </w:r>
          </w:p>
        </w:tc>
      </w:tr>
      <w:tr w:rsidR="00183E41" w:rsidRPr="00423C5B" w14:paraId="02C5DAE6" w14:textId="77777777" w:rsidTr="00E75BA0">
        <w:trPr>
          <w:cantSplit/>
          <w:trHeight w:val="145"/>
        </w:trPr>
        <w:tc>
          <w:tcPr>
            <w:tcW w:w="4018" w:type="dxa"/>
            <w:shd w:val="clear" w:color="auto" w:fill="FFFFFF"/>
            <w:tcMar>
              <w:left w:w="19" w:type="dxa"/>
              <w:right w:w="19" w:type="dxa"/>
            </w:tcMar>
          </w:tcPr>
          <w:p w14:paraId="41C3F08C"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Non-Hispanic</w:t>
            </w:r>
          </w:p>
        </w:tc>
        <w:tc>
          <w:tcPr>
            <w:tcW w:w="1959" w:type="dxa"/>
            <w:shd w:val="clear" w:color="auto" w:fill="FFFFFF"/>
            <w:vAlign w:val="center"/>
          </w:tcPr>
          <w:p w14:paraId="14F004A0"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3301 (96.6%)</w:t>
            </w:r>
          </w:p>
        </w:tc>
        <w:tc>
          <w:tcPr>
            <w:tcW w:w="1959" w:type="dxa"/>
            <w:shd w:val="clear" w:color="auto" w:fill="FFFFFF"/>
            <w:tcMar>
              <w:left w:w="19" w:type="dxa"/>
              <w:right w:w="19" w:type="dxa"/>
            </w:tcMar>
            <w:vAlign w:val="center"/>
          </w:tcPr>
          <w:p w14:paraId="56EE38D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1805 (97.0%)</w:t>
            </w:r>
          </w:p>
        </w:tc>
        <w:tc>
          <w:tcPr>
            <w:tcW w:w="1959" w:type="dxa"/>
            <w:shd w:val="clear" w:color="auto" w:fill="FFFFFF"/>
            <w:tcMar>
              <w:left w:w="19" w:type="dxa"/>
              <w:right w:w="19" w:type="dxa"/>
            </w:tcMar>
            <w:vAlign w:val="center"/>
          </w:tcPr>
          <w:p w14:paraId="0C06FA88"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1496 (96.1%)</w:t>
            </w:r>
          </w:p>
        </w:tc>
      </w:tr>
      <w:tr w:rsidR="00183E41" w:rsidRPr="00423C5B" w14:paraId="1243D7A3" w14:textId="77777777" w:rsidTr="00E75BA0">
        <w:trPr>
          <w:cantSplit/>
          <w:trHeight w:val="145"/>
        </w:trPr>
        <w:tc>
          <w:tcPr>
            <w:tcW w:w="4018" w:type="dxa"/>
            <w:shd w:val="clear" w:color="auto" w:fill="FFFFFF"/>
            <w:tcMar>
              <w:left w:w="19" w:type="dxa"/>
              <w:right w:w="19" w:type="dxa"/>
            </w:tcMar>
          </w:tcPr>
          <w:p w14:paraId="7B6B5276"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Unknown</w:t>
            </w:r>
          </w:p>
        </w:tc>
        <w:tc>
          <w:tcPr>
            <w:tcW w:w="1959" w:type="dxa"/>
            <w:shd w:val="clear" w:color="auto" w:fill="FFFFFF"/>
            <w:vAlign w:val="center"/>
          </w:tcPr>
          <w:p w14:paraId="5F477FD0"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41 (1.2%)</w:t>
            </w:r>
          </w:p>
        </w:tc>
        <w:tc>
          <w:tcPr>
            <w:tcW w:w="1959" w:type="dxa"/>
            <w:shd w:val="clear" w:color="auto" w:fill="FFFFFF"/>
            <w:tcMar>
              <w:left w:w="19" w:type="dxa"/>
              <w:right w:w="19" w:type="dxa"/>
            </w:tcMar>
            <w:vAlign w:val="center"/>
          </w:tcPr>
          <w:p w14:paraId="54FF4493"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21 (1.1%)</w:t>
            </w:r>
          </w:p>
        </w:tc>
        <w:tc>
          <w:tcPr>
            <w:tcW w:w="1959" w:type="dxa"/>
            <w:shd w:val="clear" w:color="auto" w:fill="FFFFFF"/>
            <w:tcMar>
              <w:left w:w="19" w:type="dxa"/>
              <w:right w:w="19" w:type="dxa"/>
            </w:tcMar>
            <w:vAlign w:val="center"/>
          </w:tcPr>
          <w:p w14:paraId="5FF69876"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20 (1.3%)</w:t>
            </w:r>
          </w:p>
        </w:tc>
      </w:tr>
      <w:tr w:rsidR="00183E41" w:rsidRPr="00423C5B" w14:paraId="01DC41F2" w14:textId="77777777" w:rsidTr="00E75BA0">
        <w:trPr>
          <w:cantSplit/>
          <w:trHeight w:val="145"/>
        </w:trPr>
        <w:tc>
          <w:tcPr>
            <w:tcW w:w="4018" w:type="dxa"/>
            <w:shd w:val="clear" w:color="auto" w:fill="FFFFFF"/>
            <w:tcMar>
              <w:left w:w="19" w:type="dxa"/>
              <w:right w:w="19" w:type="dxa"/>
            </w:tcMar>
          </w:tcPr>
          <w:p w14:paraId="4FB449DA" w14:textId="77777777" w:rsidR="00183E41" w:rsidRPr="000B7C6D" w:rsidRDefault="00183E41" w:rsidP="00E75BA0">
            <w:pPr>
              <w:adjustRightInd w:val="0"/>
              <w:spacing w:before="19" w:after="19" w:line="240" w:lineRule="auto"/>
              <w:rPr>
                <w:rFonts w:ascii="Arial" w:hAnsi="Arial" w:cs="Arial"/>
                <w:color w:val="000000"/>
                <w:sz w:val="22"/>
                <w:szCs w:val="22"/>
              </w:rPr>
            </w:pPr>
            <w:r w:rsidRPr="000B7C6D">
              <w:rPr>
                <w:rFonts w:ascii="Arial" w:hAnsi="Arial" w:cs="Arial"/>
                <w:color w:val="000000"/>
                <w:sz w:val="22"/>
                <w:szCs w:val="22"/>
              </w:rPr>
              <w:t>Comorbidities</w:t>
            </w:r>
            <w:r>
              <w:rPr>
                <w:rFonts w:ascii="Arial" w:hAnsi="Arial" w:cs="Arial"/>
                <w:color w:val="000000"/>
                <w:sz w:val="22"/>
                <w:szCs w:val="22"/>
              </w:rPr>
              <w:t>,</w:t>
            </w:r>
            <w:r w:rsidRPr="00C53AA8">
              <w:rPr>
                <w:rFonts w:ascii="Arial" w:hAnsi="Arial" w:cs="Arial"/>
                <w:color w:val="000000"/>
                <w:sz w:val="22"/>
                <w:szCs w:val="22"/>
              </w:rPr>
              <w:t xml:space="preserve"> n(%)</w:t>
            </w:r>
          </w:p>
        </w:tc>
        <w:tc>
          <w:tcPr>
            <w:tcW w:w="1959" w:type="dxa"/>
            <w:shd w:val="clear" w:color="auto" w:fill="FFFFFF"/>
            <w:vAlign w:val="center"/>
          </w:tcPr>
          <w:p w14:paraId="52820E87"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6274452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c>
          <w:tcPr>
            <w:tcW w:w="1959" w:type="dxa"/>
            <w:shd w:val="clear" w:color="auto" w:fill="FFFFFF"/>
            <w:tcMar>
              <w:left w:w="19" w:type="dxa"/>
              <w:right w:w="19" w:type="dxa"/>
            </w:tcMar>
            <w:vAlign w:val="center"/>
          </w:tcPr>
          <w:p w14:paraId="218EE462"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Pr>
                <w:rFonts w:ascii="Arial" w:hAnsi="Arial" w:cs="Arial"/>
                <w:color w:val="000000"/>
                <w:sz w:val="22"/>
                <w:szCs w:val="22"/>
              </w:rPr>
              <w:t>*</w:t>
            </w:r>
          </w:p>
        </w:tc>
      </w:tr>
      <w:tr w:rsidR="00183E41" w:rsidRPr="00423C5B" w14:paraId="00E8EE48" w14:textId="77777777" w:rsidTr="00E75BA0">
        <w:trPr>
          <w:cantSplit/>
          <w:trHeight w:val="303"/>
        </w:trPr>
        <w:tc>
          <w:tcPr>
            <w:tcW w:w="4018" w:type="dxa"/>
            <w:shd w:val="clear" w:color="auto" w:fill="FFFFFF"/>
            <w:tcMar>
              <w:left w:w="19" w:type="dxa"/>
              <w:right w:w="19" w:type="dxa"/>
            </w:tcMar>
          </w:tcPr>
          <w:p w14:paraId="79DA992F"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 xml:space="preserve">Influenza </w:t>
            </w:r>
          </w:p>
        </w:tc>
        <w:tc>
          <w:tcPr>
            <w:tcW w:w="1959" w:type="dxa"/>
            <w:shd w:val="clear" w:color="auto" w:fill="FFFFFF"/>
            <w:vAlign w:val="center"/>
          </w:tcPr>
          <w:p w14:paraId="523389BA"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27 (0.8%)</w:t>
            </w:r>
          </w:p>
        </w:tc>
        <w:tc>
          <w:tcPr>
            <w:tcW w:w="1959" w:type="dxa"/>
            <w:shd w:val="clear" w:color="auto" w:fill="FFFFFF"/>
            <w:tcMar>
              <w:left w:w="19" w:type="dxa"/>
              <w:right w:w="19" w:type="dxa"/>
            </w:tcMar>
            <w:vAlign w:val="center"/>
          </w:tcPr>
          <w:p w14:paraId="1E377379"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9 (0.5%)</w:t>
            </w:r>
          </w:p>
        </w:tc>
        <w:tc>
          <w:tcPr>
            <w:tcW w:w="1959" w:type="dxa"/>
            <w:shd w:val="clear" w:color="auto" w:fill="FFFFFF"/>
            <w:tcMar>
              <w:left w:w="19" w:type="dxa"/>
              <w:right w:w="19" w:type="dxa"/>
            </w:tcMar>
            <w:vAlign w:val="center"/>
          </w:tcPr>
          <w:p w14:paraId="5055A6B3"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18 (1.2%)</w:t>
            </w:r>
          </w:p>
        </w:tc>
      </w:tr>
      <w:tr w:rsidR="00183E41" w:rsidRPr="00423C5B" w14:paraId="46D55A21" w14:textId="77777777" w:rsidTr="00E75BA0">
        <w:trPr>
          <w:cantSplit/>
          <w:trHeight w:val="303"/>
        </w:trPr>
        <w:tc>
          <w:tcPr>
            <w:tcW w:w="4018" w:type="dxa"/>
            <w:shd w:val="clear" w:color="auto" w:fill="FFFFFF"/>
            <w:tcMar>
              <w:left w:w="19" w:type="dxa"/>
              <w:right w:w="19" w:type="dxa"/>
            </w:tcMar>
          </w:tcPr>
          <w:p w14:paraId="0309FE0D"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COPD</w:t>
            </w:r>
          </w:p>
        </w:tc>
        <w:tc>
          <w:tcPr>
            <w:tcW w:w="1959" w:type="dxa"/>
            <w:shd w:val="clear" w:color="auto" w:fill="FFFFFF"/>
            <w:vAlign w:val="center"/>
          </w:tcPr>
          <w:p w14:paraId="3163ED8D"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1123 (32.9%)</w:t>
            </w:r>
          </w:p>
        </w:tc>
        <w:tc>
          <w:tcPr>
            <w:tcW w:w="1959" w:type="dxa"/>
            <w:shd w:val="clear" w:color="auto" w:fill="FFFFFF"/>
            <w:tcMar>
              <w:left w:w="19" w:type="dxa"/>
              <w:right w:w="19" w:type="dxa"/>
            </w:tcMar>
            <w:vAlign w:val="center"/>
          </w:tcPr>
          <w:p w14:paraId="619CFB5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574 (30.8%)</w:t>
            </w:r>
          </w:p>
        </w:tc>
        <w:tc>
          <w:tcPr>
            <w:tcW w:w="1959" w:type="dxa"/>
            <w:shd w:val="clear" w:color="auto" w:fill="FFFFFF"/>
            <w:tcMar>
              <w:left w:w="19" w:type="dxa"/>
              <w:right w:w="19" w:type="dxa"/>
            </w:tcMar>
            <w:vAlign w:val="center"/>
          </w:tcPr>
          <w:p w14:paraId="5E643F18"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549 (35.3%)</w:t>
            </w:r>
          </w:p>
        </w:tc>
      </w:tr>
      <w:tr w:rsidR="00183E41" w:rsidRPr="00423C5B" w14:paraId="55B397FB" w14:textId="77777777" w:rsidTr="00E75BA0">
        <w:trPr>
          <w:cantSplit/>
          <w:trHeight w:val="303"/>
        </w:trPr>
        <w:tc>
          <w:tcPr>
            <w:tcW w:w="4018" w:type="dxa"/>
            <w:shd w:val="clear" w:color="auto" w:fill="FFFFFF"/>
            <w:tcMar>
              <w:left w:w="19" w:type="dxa"/>
              <w:right w:w="19" w:type="dxa"/>
            </w:tcMar>
          </w:tcPr>
          <w:p w14:paraId="01EF78BC"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Lung Cancer</w:t>
            </w:r>
          </w:p>
        </w:tc>
        <w:tc>
          <w:tcPr>
            <w:tcW w:w="1959" w:type="dxa"/>
            <w:shd w:val="clear" w:color="auto" w:fill="FFFFFF"/>
            <w:vAlign w:val="center"/>
          </w:tcPr>
          <w:p w14:paraId="5AF7887B"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481 (14.1%)</w:t>
            </w:r>
          </w:p>
        </w:tc>
        <w:tc>
          <w:tcPr>
            <w:tcW w:w="1959" w:type="dxa"/>
            <w:shd w:val="clear" w:color="auto" w:fill="FFFFFF"/>
            <w:tcMar>
              <w:left w:w="19" w:type="dxa"/>
              <w:right w:w="19" w:type="dxa"/>
            </w:tcMar>
            <w:vAlign w:val="center"/>
          </w:tcPr>
          <w:p w14:paraId="653BBBC3"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284 (15.3%)</w:t>
            </w:r>
          </w:p>
        </w:tc>
        <w:tc>
          <w:tcPr>
            <w:tcW w:w="1959" w:type="dxa"/>
            <w:shd w:val="clear" w:color="auto" w:fill="FFFFFF"/>
            <w:tcMar>
              <w:left w:w="19" w:type="dxa"/>
              <w:right w:w="19" w:type="dxa"/>
            </w:tcMar>
            <w:vAlign w:val="center"/>
          </w:tcPr>
          <w:p w14:paraId="3F9F19F5"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197 (12.7%)</w:t>
            </w:r>
          </w:p>
        </w:tc>
      </w:tr>
      <w:tr w:rsidR="00183E41" w:rsidRPr="00423C5B" w14:paraId="6160C448" w14:textId="77777777" w:rsidTr="00E75BA0">
        <w:trPr>
          <w:cantSplit/>
          <w:trHeight w:val="303"/>
        </w:trPr>
        <w:tc>
          <w:tcPr>
            <w:tcW w:w="4018" w:type="dxa"/>
            <w:shd w:val="clear" w:color="auto" w:fill="FFFFFF"/>
            <w:tcMar>
              <w:left w:w="19" w:type="dxa"/>
              <w:right w:w="19" w:type="dxa"/>
            </w:tcMar>
          </w:tcPr>
          <w:p w14:paraId="65DA5910"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Home oxygen</w:t>
            </w:r>
          </w:p>
        </w:tc>
        <w:tc>
          <w:tcPr>
            <w:tcW w:w="1959" w:type="dxa"/>
            <w:shd w:val="clear" w:color="auto" w:fill="FFFFFF"/>
            <w:vAlign w:val="center"/>
          </w:tcPr>
          <w:p w14:paraId="0497B5B3"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165 (4.8%)</w:t>
            </w:r>
          </w:p>
        </w:tc>
        <w:tc>
          <w:tcPr>
            <w:tcW w:w="1959" w:type="dxa"/>
            <w:shd w:val="clear" w:color="auto" w:fill="FFFFFF"/>
            <w:tcMar>
              <w:left w:w="19" w:type="dxa"/>
              <w:right w:w="19" w:type="dxa"/>
            </w:tcMar>
            <w:vAlign w:val="center"/>
          </w:tcPr>
          <w:p w14:paraId="4B22434F"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101 (5.4%)</w:t>
            </w:r>
          </w:p>
        </w:tc>
        <w:tc>
          <w:tcPr>
            <w:tcW w:w="1959" w:type="dxa"/>
            <w:shd w:val="clear" w:color="auto" w:fill="FFFFFF"/>
            <w:tcMar>
              <w:left w:w="19" w:type="dxa"/>
              <w:right w:w="19" w:type="dxa"/>
            </w:tcMar>
            <w:vAlign w:val="center"/>
          </w:tcPr>
          <w:p w14:paraId="7C7CF8C6"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64 (4.1%)</w:t>
            </w:r>
          </w:p>
        </w:tc>
      </w:tr>
      <w:tr w:rsidR="00183E41" w:rsidRPr="00423C5B" w14:paraId="1C83DDAA" w14:textId="77777777" w:rsidTr="00E75BA0">
        <w:trPr>
          <w:cantSplit/>
          <w:trHeight w:val="303"/>
        </w:trPr>
        <w:tc>
          <w:tcPr>
            <w:tcW w:w="4018" w:type="dxa"/>
            <w:shd w:val="clear" w:color="auto" w:fill="FFFFFF"/>
            <w:tcMar>
              <w:left w:w="19" w:type="dxa"/>
              <w:right w:w="19" w:type="dxa"/>
            </w:tcMar>
          </w:tcPr>
          <w:p w14:paraId="5856DDD7"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Chemotherapy</w:t>
            </w:r>
          </w:p>
        </w:tc>
        <w:tc>
          <w:tcPr>
            <w:tcW w:w="1959" w:type="dxa"/>
            <w:shd w:val="clear" w:color="auto" w:fill="FFFFFF"/>
            <w:vAlign w:val="center"/>
          </w:tcPr>
          <w:p w14:paraId="17895939"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246 (7.2%)</w:t>
            </w:r>
          </w:p>
        </w:tc>
        <w:tc>
          <w:tcPr>
            <w:tcW w:w="1959" w:type="dxa"/>
            <w:shd w:val="clear" w:color="auto" w:fill="FFFFFF"/>
            <w:tcMar>
              <w:left w:w="19" w:type="dxa"/>
              <w:right w:w="19" w:type="dxa"/>
            </w:tcMar>
            <w:vAlign w:val="center"/>
          </w:tcPr>
          <w:p w14:paraId="0B30AA90"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144 (7.7%)</w:t>
            </w:r>
          </w:p>
        </w:tc>
        <w:tc>
          <w:tcPr>
            <w:tcW w:w="1959" w:type="dxa"/>
            <w:shd w:val="clear" w:color="auto" w:fill="FFFFFF"/>
            <w:tcMar>
              <w:left w:w="19" w:type="dxa"/>
              <w:right w:w="19" w:type="dxa"/>
            </w:tcMar>
            <w:vAlign w:val="center"/>
          </w:tcPr>
          <w:p w14:paraId="650C1B65"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102 (6.6%)</w:t>
            </w:r>
          </w:p>
        </w:tc>
      </w:tr>
      <w:tr w:rsidR="00183E41" w:rsidRPr="00423C5B" w14:paraId="5BF28145" w14:textId="77777777" w:rsidTr="00E75BA0">
        <w:trPr>
          <w:cantSplit/>
          <w:trHeight w:val="303"/>
        </w:trPr>
        <w:tc>
          <w:tcPr>
            <w:tcW w:w="4018" w:type="dxa"/>
            <w:shd w:val="clear" w:color="auto" w:fill="FFFFFF"/>
            <w:tcMar>
              <w:left w:w="19" w:type="dxa"/>
              <w:right w:w="19" w:type="dxa"/>
            </w:tcMar>
          </w:tcPr>
          <w:p w14:paraId="09DB92C9"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Immunosuppressant</w:t>
            </w:r>
            <w:r>
              <w:rPr>
                <w:rFonts w:ascii="Arial" w:hAnsi="Arial" w:cs="Arial"/>
                <w:color w:val="000000"/>
                <w:sz w:val="22"/>
                <w:szCs w:val="22"/>
              </w:rPr>
              <w:t>s</w:t>
            </w:r>
          </w:p>
        </w:tc>
        <w:tc>
          <w:tcPr>
            <w:tcW w:w="1959" w:type="dxa"/>
            <w:shd w:val="clear" w:color="auto" w:fill="FFFFFF"/>
            <w:vAlign w:val="center"/>
          </w:tcPr>
          <w:p w14:paraId="479ADC32"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179 (5.2%)</w:t>
            </w:r>
          </w:p>
        </w:tc>
        <w:tc>
          <w:tcPr>
            <w:tcW w:w="1959" w:type="dxa"/>
            <w:shd w:val="clear" w:color="auto" w:fill="FFFFFF"/>
            <w:tcMar>
              <w:left w:w="19" w:type="dxa"/>
              <w:right w:w="19" w:type="dxa"/>
            </w:tcMar>
            <w:vAlign w:val="center"/>
          </w:tcPr>
          <w:p w14:paraId="1AFE465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102 (5.5%)</w:t>
            </w:r>
          </w:p>
        </w:tc>
        <w:tc>
          <w:tcPr>
            <w:tcW w:w="1959" w:type="dxa"/>
            <w:shd w:val="clear" w:color="auto" w:fill="FFFFFF"/>
            <w:tcMar>
              <w:left w:w="19" w:type="dxa"/>
              <w:right w:w="19" w:type="dxa"/>
            </w:tcMar>
            <w:vAlign w:val="center"/>
          </w:tcPr>
          <w:p w14:paraId="27DCC807"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77 (4.9%)</w:t>
            </w:r>
          </w:p>
        </w:tc>
      </w:tr>
      <w:tr w:rsidR="00183E41" w:rsidRPr="00423C5B" w14:paraId="49E5CD51" w14:textId="77777777" w:rsidTr="00E75BA0">
        <w:trPr>
          <w:cantSplit/>
          <w:trHeight w:val="303"/>
        </w:trPr>
        <w:tc>
          <w:tcPr>
            <w:tcW w:w="4018" w:type="dxa"/>
            <w:shd w:val="clear" w:color="auto" w:fill="FFFFFF"/>
            <w:tcMar>
              <w:left w:w="19" w:type="dxa"/>
              <w:right w:w="19" w:type="dxa"/>
            </w:tcMar>
          </w:tcPr>
          <w:p w14:paraId="01560DE9" w14:textId="77777777" w:rsidR="00183E41" w:rsidRPr="000B7C6D" w:rsidRDefault="00183E41" w:rsidP="00E75BA0">
            <w:pPr>
              <w:adjustRightInd w:val="0"/>
              <w:spacing w:before="19" w:after="19" w:line="240" w:lineRule="auto"/>
              <w:ind w:left="288"/>
              <w:rPr>
                <w:rFonts w:ascii="Arial" w:hAnsi="Arial" w:cs="Arial"/>
                <w:color w:val="000000"/>
                <w:sz w:val="22"/>
                <w:szCs w:val="22"/>
              </w:rPr>
            </w:pPr>
            <w:r w:rsidRPr="000B7C6D">
              <w:rPr>
                <w:rFonts w:ascii="Arial" w:hAnsi="Arial" w:cs="Arial"/>
                <w:color w:val="000000"/>
                <w:sz w:val="22"/>
                <w:szCs w:val="22"/>
              </w:rPr>
              <w:t>Chronic Steroids</w:t>
            </w:r>
          </w:p>
        </w:tc>
        <w:tc>
          <w:tcPr>
            <w:tcW w:w="1959" w:type="dxa"/>
            <w:shd w:val="clear" w:color="auto" w:fill="FFFFFF"/>
            <w:vAlign w:val="center"/>
          </w:tcPr>
          <w:p w14:paraId="5D604EF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125 (3.7%)</w:t>
            </w:r>
          </w:p>
        </w:tc>
        <w:tc>
          <w:tcPr>
            <w:tcW w:w="1959" w:type="dxa"/>
            <w:shd w:val="clear" w:color="auto" w:fill="FFFFFF"/>
            <w:tcMar>
              <w:left w:w="19" w:type="dxa"/>
              <w:right w:w="19" w:type="dxa"/>
            </w:tcMar>
            <w:vAlign w:val="center"/>
          </w:tcPr>
          <w:p w14:paraId="52C1C008"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73 (3.9%)</w:t>
            </w:r>
          </w:p>
        </w:tc>
        <w:tc>
          <w:tcPr>
            <w:tcW w:w="1959" w:type="dxa"/>
            <w:shd w:val="clear" w:color="auto" w:fill="FFFFFF"/>
            <w:tcMar>
              <w:left w:w="19" w:type="dxa"/>
              <w:right w:w="19" w:type="dxa"/>
            </w:tcMar>
            <w:vAlign w:val="center"/>
          </w:tcPr>
          <w:p w14:paraId="6DF0CC98"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52 (3.3%)</w:t>
            </w:r>
          </w:p>
        </w:tc>
      </w:tr>
      <w:tr w:rsidR="00183E41" w:rsidRPr="00423C5B" w14:paraId="2BC3B697" w14:textId="77777777" w:rsidTr="00E75BA0">
        <w:trPr>
          <w:cantSplit/>
          <w:trHeight w:val="303"/>
        </w:trPr>
        <w:tc>
          <w:tcPr>
            <w:tcW w:w="4018" w:type="dxa"/>
            <w:shd w:val="clear" w:color="auto" w:fill="FFFFFF"/>
            <w:tcMar>
              <w:left w:w="19" w:type="dxa"/>
              <w:right w:w="19" w:type="dxa"/>
            </w:tcMar>
          </w:tcPr>
          <w:p w14:paraId="10027E10" w14:textId="77777777" w:rsidR="00183E41" w:rsidRPr="000B7C6D" w:rsidRDefault="00183E41" w:rsidP="00E75BA0">
            <w:pPr>
              <w:adjustRightInd w:val="0"/>
              <w:spacing w:before="19" w:after="19" w:line="240" w:lineRule="auto"/>
              <w:ind w:left="288"/>
              <w:rPr>
                <w:rFonts w:ascii="Arial" w:hAnsi="Arial" w:cs="Arial"/>
                <w:sz w:val="22"/>
                <w:szCs w:val="22"/>
                <w:vertAlign w:val="superscript"/>
              </w:rPr>
            </w:pPr>
            <w:r w:rsidRPr="000B7C6D">
              <w:rPr>
                <w:rFonts w:ascii="Arial" w:hAnsi="Arial" w:cs="Arial"/>
                <w:sz w:val="22"/>
                <w:szCs w:val="22"/>
              </w:rPr>
              <w:t>Immunosuppression</w:t>
            </w:r>
            <w:r w:rsidRPr="00A07423">
              <w:rPr>
                <w:rFonts w:ascii="Arial" w:hAnsi="Arial" w:cs="Arial"/>
                <w:sz w:val="22"/>
                <w:szCs w:val="22"/>
                <w:vertAlign w:val="superscript"/>
              </w:rPr>
              <w:t xml:space="preserve">1 </w:t>
            </w:r>
          </w:p>
        </w:tc>
        <w:tc>
          <w:tcPr>
            <w:tcW w:w="1959" w:type="dxa"/>
            <w:shd w:val="clear" w:color="auto" w:fill="FFFFFF"/>
            <w:vAlign w:val="center"/>
          </w:tcPr>
          <w:p w14:paraId="4AAAD2ED"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448 (13.1%)</w:t>
            </w:r>
          </w:p>
        </w:tc>
        <w:tc>
          <w:tcPr>
            <w:tcW w:w="1959" w:type="dxa"/>
            <w:shd w:val="clear" w:color="auto" w:fill="FFFFFF"/>
            <w:tcMar>
              <w:left w:w="19" w:type="dxa"/>
              <w:right w:w="19" w:type="dxa"/>
            </w:tcMar>
            <w:vAlign w:val="center"/>
          </w:tcPr>
          <w:p w14:paraId="166AA0E5"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266 (14.3%)</w:t>
            </w:r>
          </w:p>
        </w:tc>
        <w:tc>
          <w:tcPr>
            <w:tcW w:w="1959" w:type="dxa"/>
            <w:shd w:val="clear" w:color="auto" w:fill="FFFFFF"/>
            <w:tcMar>
              <w:left w:w="19" w:type="dxa"/>
              <w:right w:w="19" w:type="dxa"/>
            </w:tcMar>
            <w:vAlign w:val="center"/>
          </w:tcPr>
          <w:p w14:paraId="13AB4005"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182 (11.7%)</w:t>
            </w:r>
          </w:p>
        </w:tc>
      </w:tr>
      <w:tr w:rsidR="00183E41" w:rsidRPr="00423C5B" w14:paraId="72C18565" w14:textId="77777777" w:rsidTr="00E75BA0">
        <w:trPr>
          <w:cantSplit/>
          <w:trHeight w:val="303"/>
        </w:trPr>
        <w:tc>
          <w:tcPr>
            <w:tcW w:w="4018" w:type="dxa"/>
            <w:shd w:val="clear" w:color="auto" w:fill="FFFFFF"/>
            <w:tcMar>
              <w:left w:w="19" w:type="dxa"/>
              <w:right w:w="19" w:type="dxa"/>
            </w:tcMar>
          </w:tcPr>
          <w:p w14:paraId="0E40903B" w14:textId="77777777" w:rsidR="00183E41" w:rsidRPr="000B7C6D" w:rsidRDefault="00183E41" w:rsidP="00E75BA0">
            <w:pPr>
              <w:adjustRightInd w:val="0"/>
              <w:spacing w:before="19" w:after="19" w:line="240" w:lineRule="auto"/>
              <w:ind w:left="288"/>
              <w:rPr>
                <w:rFonts w:ascii="Arial" w:hAnsi="Arial" w:cs="Arial"/>
                <w:sz w:val="22"/>
                <w:szCs w:val="22"/>
              </w:rPr>
            </w:pPr>
            <w:r w:rsidRPr="000B7C6D">
              <w:rPr>
                <w:rFonts w:ascii="Arial" w:hAnsi="Arial" w:cs="Arial"/>
                <w:sz w:val="22"/>
                <w:szCs w:val="22"/>
              </w:rPr>
              <w:t>Nephrotic Syndrome</w:t>
            </w:r>
          </w:p>
        </w:tc>
        <w:tc>
          <w:tcPr>
            <w:tcW w:w="1959" w:type="dxa"/>
            <w:shd w:val="clear" w:color="auto" w:fill="FFFFFF"/>
            <w:vAlign w:val="center"/>
          </w:tcPr>
          <w:p w14:paraId="5DE9E4F3"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22 (0.6%)</w:t>
            </w:r>
          </w:p>
        </w:tc>
        <w:tc>
          <w:tcPr>
            <w:tcW w:w="1959" w:type="dxa"/>
            <w:shd w:val="clear" w:color="auto" w:fill="FFFFFF"/>
            <w:tcMar>
              <w:left w:w="19" w:type="dxa"/>
              <w:right w:w="19" w:type="dxa"/>
            </w:tcMar>
            <w:vAlign w:val="center"/>
          </w:tcPr>
          <w:p w14:paraId="71011CFC"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16 (0.9%)</w:t>
            </w:r>
          </w:p>
        </w:tc>
        <w:tc>
          <w:tcPr>
            <w:tcW w:w="1959" w:type="dxa"/>
            <w:shd w:val="clear" w:color="auto" w:fill="FFFFFF"/>
            <w:tcMar>
              <w:left w:w="19" w:type="dxa"/>
              <w:right w:w="19" w:type="dxa"/>
            </w:tcMar>
            <w:vAlign w:val="center"/>
          </w:tcPr>
          <w:p w14:paraId="52C1E02A"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6 (0.4%)</w:t>
            </w:r>
          </w:p>
        </w:tc>
      </w:tr>
      <w:tr w:rsidR="00183E41" w:rsidRPr="00423C5B" w14:paraId="3072352F" w14:textId="77777777" w:rsidTr="00E75BA0">
        <w:trPr>
          <w:cantSplit/>
          <w:trHeight w:val="303"/>
        </w:trPr>
        <w:tc>
          <w:tcPr>
            <w:tcW w:w="4018" w:type="dxa"/>
            <w:shd w:val="clear" w:color="auto" w:fill="FFFFFF"/>
            <w:tcMar>
              <w:left w:w="19" w:type="dxa"/>
              <w:right w:w="19" w:type="dxa"/>
            </w:tcMar>
          </w:tcPr>
          <w:p w14:paraId="0527613E" w14:textId="77777777" w:rsidR="00183E41" w:rsidRPr="000B7C6D" w:rsidRDefault="00183E41" w:rsidP="00E75BA0">
            <w:pPr>
              <w:adjustRightInd w:val="0"/>
              <w:spacing w:before="19" w:after="19" w:line="240" w:lineRule="auto"/>
              <w:ind w:left="288"/>
              <w:rPr>
                <w:rFonts w:ascii="Arial" w:hAnsi="Arial" w:cs="Arial"/>
                <w:sz w:val="22"/>
                <w:szCs w:val="22"/>
              </w:rPr>
            </w:pPr>
            <w:r w:rsidRPr="000B7C6D">
              <w:rPr>
                <w:rFonts w:ascii="Arial" w:hAnsi="Arial" w:cs="Arial"/>
                <w:sz w:val="22"/>
                <w:szCs w:val="22"/>
              </w:rPr>
              <w:t>Emphysema</w:t>
            </w:r>
          </w:p>
        </w:tc>
        <w:tc>
          <w:tcPr>
            <w:tcW w:w="1959" w:type="dxa"/>
            <w:shd w:val="clear" w:color="auto" w:fill="FFFFFF"/>
            <w:vAlign w:val="center"/>
          </w:tcPr>
          <w:p w14:paraId="52CA2A37"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554 (16.2%)</w:t>
            </w:r>
          </w:p>
        </w:tc>
        <w:tc>
          <w:tcPr>
            <w:tcW w:w="1959" w:type="dxa"/>
            <w:shd w:val="clear" w:color="auto" w:fill="FFFFFF"/>
            <w:tcMar>
              <w:left w:w="19" w:type="dxa"/>
              <w:right w:w="19" w:type="dxa"/>
            </w:tcMar>
            <w:vAlign w:val="center"/>
          </w:tcPr>
          <w:p w14:paraId="30C25DA4"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279 (15.0%)</w:t>
            </w:r>
          </w:p>
        </w:tc>
        <w:tc>
          <w:tcPr>
            <w:tcW w:w="1959" w:type="dxa"/>
            <w:shd w:val="clear" w:color="auto" w:fill="FFFFFF"/>
            <w:tcMar>
              <w:left w:w="19" w:type="dxa"/>
              <w:right w:w="19" w:type="dxa"/>
            </w:tcMar>
            <w:vAlign w:val="center"/>
          </w:tcPr>
          <w:p w14:paraId="2B8F385E"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275 (17.7%)</w:t>
            </w:r>
          </w:p>
        </w:tc>
      </w:tr>
      <w:tr w:rsidR="00183E41" w:rsidRPr="00423C5B" w14:paraId="52B8CCB6" w14:textId="77777777" w:rsidTr="00E75BA0">
        <w:trPr>
          <w:cantSplit/>
          <w:trHeight w:val="303"/>
        </w:trPr>
        <w:tc>
          <w:tcPr>
            <w:tcW w:w="4018" w:type="dxa"/>
            <w:shd w:val="clear" w:color="auto" w:fill="FFFFFF"/>
            <w:tcMar>
              <w:left w:w="19" w:type="dxa"/>
              <w:right w:w="19" w:type="dxa"/>
            </w:tcMar>
          </w:tcPr>
          <w:p w14:paraId="286F070B" w14:textId="77777777" w:rsidR="00183E41" w:rsidRPr="000B7C6D" w:rsidRDefault="00183E41" w:rsidP="00E75BA0">
            <w:pPr>
              <w:adjustRightInd w:val="0"/>
              <w:spacing w:before="19" w:after="19" w:line="240" w:lineRule="auto"/>
              <w:ind w:left="288"/>
              <w:rPr>
                <w:rFonts w:ascii="Arial" w:hAnsi="Arial" w:cs="Arial"/>
                <w:sz w:val="22"/>
                <w:szCs w:val="22"/>
              </w:rPr>
            </w:pPr>
            <w:r w:rsidRPr="000B7C6D">
              <w:rPr>
                <w:rFonts w:ascii="Arial" w:hAnsi="Arial" w:cs="Arial"/>
                <w:sz w:val="22"/>
                <w:szCs w:val="22"/>
              </w:rPr>
              <w:t>Congenital/Acquired Immunodeficiency</w:t>
            </w:r>
          </w:p>
        </w:tc>
        <w:tc>
          <w:tcPr>
            <w:tcW w:w="1959" w:type="dxa"/>
            <w:shd w:val="clear" w:color="auto" w:fill="FFFFFF"/>
            <w:vAlign w:val="center"/>
          </w:tcPr>
          <w:p w14:paraId="466E08F6"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239 (7.0%)</w:t>
            </w:r>
          </w:p>
        </w:tc>
        <w:tc>
          <w:tcPr>
            <w:tcW w:w="1959" w:type="dxa"/>
            <w:shd w:val="clear" w:color="auto" w:fill="FFFFFF"/>
            <w:tcMar>
              <w:left w:w="19" w:type="dxa"/>
              <w:right w:w="19" w:type="dxa"/>
            </w:tcMar>
            <w:vAlign w:val="center"/>
          </w:tcPr>
          <w:p w14:paraId="065AA8A7"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145 (7.8%)</w:t>
            </w:r>
          </w:p>
        </w:tc>
        <w:tc>
          <w:tcPr>
            <w:tcW w:w="1959" w:type="dxa"/>
            <w:shd w:val="clear" w:color="auto" w:fill="FFFFFF"/>
            <w:tcMar>
              <w:left w:w="19" w:type="dxa"/>
              <w:right w:w="19" w:type="dxa"/>
            </w:tcMar>
            <w:vAlign w:val="center"/>
          </w:tcPr>
          <w:p w14:paraId="5F04B5A1"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94 (6.0%)</w:t>
            </w:r>
          </w:p>
        </w:tc>
      </w:tr>
      <w:tr w:rsidR="00183E41" w:rsidRPr="00423C5B" w14:paraId="5FB7CB11" w14:textId="77777777" w:rsidTr="00E75BA0">
        <w:trPr>
          <w:cantSplit/>
          <w:trHeight w:val="303"/>
        </w:trPr>
        <w:tc>
          <w:tcPr>
            <w:tcW w:w="4018" w:type="dxa"/>
            <w:shd w:val="clear" w:color="auto" w:fill="FFFFFF"/>
            <w:tcMar>
              <w:left w:w="19" w:type="dxa"/>
              <w:right w:w="19" w:type="dxa"/>
            </w:tcMar>
          </w:tcPr>
          <w:p w14:paraId="16923930" w14:textId="77777777" w:rsidR="00183E41" w:rsidRPr="000B7C6D" w:rsidRDefault="00183E41" w:rsidP="00E75BA0">
            <w:pPr>
              <w:adjustRightInd w:val="0"/>
              <w:spacing w:before="19" w:after="19" w:line="240" w:lineRule="auto"/>
              <w:ind w:left="288"/>
              <w:rPr>
                <w:rFonts w:ascii="Arial" w:hAnsi="Arial" w:cs="Arial"/>
                <w:sz w:val="22"/>
                <w:szCs w:val="22"/>
              </w:rPr>
            </w:pPr>
            <w:r w:rsidRPr="000B7C6D">
              <w:rPr>
                <w:rFonts w:ascii="Arial" w:hAnsi="Arial" w:cs="Arial"/>
                <w:sz w:val="22"/>
                <w:szCs w:val="22"/>
              </w:rPr>
              <w:t>History of MRSA infection </w:t>
            </w:r>
          </w:p>
        </w:tc>
        <w:tc>
          <w:tcPr>
            <w:tcW w:w="1959" w:type="dxa"/>
            <w:shd w:val="clear" w:color="auto" w:fill="FFFFFF"/>
            <w:vAlign w:val="center"/>
          </w:tcPr>
          <w:p w14:paraId="02A89C77"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20 (0.6%)</w:t>
            </w:r>
          </w:p>
        </w:tc>
        <w:tc>
          <w:tcPr>
            <w:tcW w:w="1959" w:type="dxa"/>
            <w:shd w:val="clear" w:color="auto" w:fill="FFFFFF"/>
            <w:tcMar>
              <w:left w:w="19" w:type="dxa"/>
              <w:right w:w="19" w:type="dxa"/>
            </w:tcMar>
            <w:vAlign w:val="center"/>
          </w:tcPr>
          <w:p w14:paraId="19873349"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14 (0.8%)</w:t>
            </w:r>
          </w:p>
        </w:tc>
        <w:tc>
          <w:tcPr>
            <w:tcW w:w="1959" w:type="dxa"/>
            <w:shd w:val="clear" w:color="auto" w:fill="FFFFFF"/>
            <w:tcMar>
              <w:left w:w="19" w:type="dxa"/>
              <w:right w:w="19" w:type="dxa"/>
            </w:tcMar>
            <w:vAlign w:val="center"/>
          </w:tcPr>
          <w:p w14:paraId="72C737E2" w14:textId="77777777" w:rsidR="00183E41" w:rsidRPr="000B7C6D" w:rsidRDefault="00183E41" w:rsidP="00E75BA0">
            <w:pPr>
              <w:adjustRightInd w:val="0"/>
              <w:spacing w:before="19" w:after="19" w:line="240" w:lineRule="auto"/>
              <w:jc w:val="center"/>
              <w:rPr>
                <w:rFonts w:ascii="Arial" w:hAnsi="Arial" w:cs="Arial"/>
                <w:color w:val="000000"/>
                <w:sz w:val="22"/>
                <w:szCs w:val="22"/>
              </w:rPr>
            </w:pPr>
            <w:r w:rsidRPr="000B7C6D">
              <w:rPr>
                <w:rFonts w:ascii="Arial" w:hAnsi="Arial" w:cs="Arial"/>
                <w:color w:val="000000"/>
                <w:sz w:val="22"/>
                <w:szCs w:val="22"/>
              </w:rPr>
              <w:t>6 (0.4%)</w:t>
            </w:r>
          </w:p>
        </w:tc>
      </w:tr>
      <w:tr w:rsidR="00183E41" w:rsidRPr="00423C5B" w14:paraId="49E4995C" w14:textId="77777777" w:rsidTr="00E75BA0">
        <w:trPr>
          <w:cantSplit/>
          <w:trHeight w:val="303"/>
        </w:trPr>
        <w:tc>
          <w:tcPr>
            <w:tcW w:w="4018" w:type="dxa"/>
            <w:shd w:val="clear" w:color="auto" w:fill="FFFFFF"/>
            <w:tcMar>
              <w:left w:w="19" w:type="dxa"/>
              <w:right w:w="19" w:type="dxa"/>
            </w:tcMar>
          </w:tcPr>
          <w:p w14:paraId="28F62FA8" w14:textId="77777777" w:rsidR="00183E41" w:rsidRPr="000B7C6D" w:rsidRDefault="00183E41" w:rsidP="00E75BA0">
            <w:pPr>
              <w:keepNext/>
              <w:adjustRightInd w:val="0"/>
              <w:spacing w:before="19" w:after="19" w:line="240" w:lineRule="auto"/>
              <w:rPr>
                <w:rFonts w:ascii="Arial" w:hAnsi="Arial" w:cs="Arial"/>
                <w:sz w:val="22"/>
                <w:szCs w:val="22"/>
              </w:rPr>
            </w:pPr>
            <w:r>
              <w:rPr>
                <w:rFonts w:ascii="Arial" w:hAnsi="Arial" w:cs="Arial"/>
                <w:sz w:val="22"/>
                <w:szCs w:val="22"/>
              </w:rPr>
              <w:t>Length of Stay, m</w:t>
            </w:r>
            <w:r w:rsidRPr="000B7C6D">
              <w:rPr>
                <w:rFonts w:ascii="Arial" w:hAnsi="Arial" w:cs="Arial"/>
                <w:sz w:val="22"/>
                <w:szCs w:val="22"/>
              </w:rPr>
              <w:t>edian (IQR)</w:t>
            </w:r>
          </w:p>
        </w:tc>
        <w:tc>
          <w:tcPr>
            <w:tcW w:w="1959" w:type="dxa"/>
            <w:shd w:val="clear" w:color="auto" w:fill="FFFFFF"/>
            <w:vAlign w:val="center"/>
          </w:tcPr>
          <w:p w14:paraId="078F09C4" w14:textId="77777777" w:rsidR="00183E41" w:rsidRPr="000B7C6D" w:rsidRDefault="00183E41" w:rsidP="00E75BA0">
            <w:pPr>
              <w:keepNext/>
              <w:adjustRightInd w:val="0"/>
              <w:spacing w:before="19" w:after="19" w:line="240" w:lineRule="auto"/>
              <w:jc w:val="center"/>
              <w:rPr>
                <w:rFonts w:ascii="Arial" w:hAnsi="Arial" w:cs="Arial"/>
                <w:sz w:val="22"/>
                <w:szCs w:val="22"/>
              </w:rPr>
            </w:pPr>
            <w:r w:rsidRPr="000B7C6D">
              <w:rPr>
                <w:rFonts w:ascii="Arial" w:hAnsi="Arial" w:cs="Arial"/>
                <w:sz w:val="22"/>
                <w:szCs w:val="22"/>
              </w:rPr>
              <w:t>4 (3-6)</w:t>
            </w:r>
          </w:p>
        </w:tc>
        <w:tc>
          <w:tcPr>
            <w:tcW w:w="1959" w:type="dxa"/>
            <w:shd w:val="clear" w:color="auto" w:fill="FFFFFF"/>
            <w:tcMar>
              <w:left w:w="19" w:type="dxa"/>
              <w:right w:w="19" w:type="dxa"/>
            </w:tcMar>
            <w:vAlign w:val="center"/>
          </w:tcPr>
          <w:p w14:paraId="15764D7E" w14:textId="77777777" w:rsidR="00183E41" w:rsidRPr="000B7C6D" w:rsidRDefault="00183E41" w:rsidP="00E75BA0">
            <w:pPr>
              <w:keepNext/>
              <w:adjustRightInd w:val="0"/>
              <w:spacing w:before="19" w:after="19" w:line="240" w:lineRule="auto"/>
              <w:jc w:val="center"/>
              <w:rPr>
                <w:rFonts w:ascii="Arial" w:hAnsi="Arial" w:cs="Arial"/>
                <w:sz w:val="22"/>
                <w:szCs w:val="22"/>
              </w:rPr>
            </w:pPr>
            <w:r w:rsidRPr="000B7C6D">
              <w:rPr>
                <w:rFonts w:ascii="Arial" w:hAnsi="Arial" w:cs="Arial"/>
                <w:sz w:val="22"/>
                <w:szCs w:val="22"/>
              </w:rPr>
              <w:t>5 (3-7)</w:t>
            </w:r>
          </w:p>
        </w:tc>
        <w:tc>
          <w:tcPr>
            <w:tcW w:w="1959" w:type="dxa"/>
            <w:shd w:val="clear" w:color="auto" w:fill="FFFFFF"/>
            <w:tcMar>
              <w:left w:w="19" w:type="dxa"/>
              <w:right w:w="19" w:type="dxa"/>
            </w:tcMar>
            <w:vAlign w:val="center"/>
          </w:tcPr>
          <w:p w14:paraId="76879178" w14:textId="77777777" w:rsidR="00183E41" w:rsidRPr="000B7C6D" w:rsidRDefault="00183E41" w:rsidP="00E75BA0">
            <w:pPr>
              <w:keepNext/>
              <w:adjustRightInd w:val="0"/>
              <w:spacing w:before="19" w:after="19" w:line="240" w:lineRule="auto"/>
              <w:jc w:val="center"/>
              <w:rPr>
                <w:rFonts w:ascii="Arial" w:hAnsi="Arial" w:cs="Arial"/>
                <w:sz w:val="22"/>
                <w:szCs w:val="22"/>
              </w:rPr>
            </w:pPr>
            <w:r w:rsidRPr="000B7C6D">
              <w:rPr>
                <w:rFonts w:ascii="Arial" w:hAnsi="Arial" w:cs="Arial"/>
                <w:sz w:val="22"/>
                <w:szCs w:val="22"/>
              </w:rPr>
              <w:t>4 (3-6)</w:t>
            </w:r>
          </w:p>
        </w:tc>
      </w:tr>
    </w:tbl>
    <w:p w14:paraId="61DC467F" w14:textId="77777777" w:rsidR="00183E41" w:rsidRDefault="00183E41" w:rsidP="00183E41">
      <w:pPr>
        <w:spacing w:line="264" w:lineRule="auto"/>
        <w:rPr>
          <w:rFonts w:ascii="Arial" w:hAnsi="Arial" w:cs="Arial"/>
          <w:sz w:val="18"/>
          <w:szCs w:val="18"/>
        </w:rPr>
      </w:pPr>
      <w:r>
        <w:rPr>
          <w:rFonts w:ascii="Arial" w:hAnsi="Arial" w:cs="Arial"/>
          <w:sz w:val="18"/>
          <w:szCs w:val="18"/>
        </w:rPr>
        <w:t>Abbreviations: IQR, interquartile range; COPD, chronic obstructive lung disease</w:t>
      </w:r>
    </w:p>
    <w:p w14:paraId="5A895B70" w14:textId="77777777" w:rsidR="00183E41" w:rsidRDefault="00183E41" w:rsidP="00183E41">
      <w:pPr>
        <w:spacing w:line="264" w:lineRule="auto"/>
        <w:rPr>
          <w:rFonts w:ascii="Arial" w:hAnsi="Arial" w:cs="Arial"/>
          <w:sz w:val="18"/>
          <w:szCs w:val="18"/>
        </w:rPr>
      </w:pPr>
      <w:r w:rsidRPr="00A07423">
        <w:rPr>
          <w:rFonts w:ascii="Arial" w:hAnsi="Arial" w:cs="Arial"/>
          <w:sz w:val="18"/>
          <w:szCs w:val="18"/>
          <w:vertAlign w:val="superscript"/>
        </w:rPr>
        <w:t>1</w:t>
      </w:r>
      <w:r>
        <w:rPr>
          <w:rFonts w:ascii="Arial" w:hAnsi="Arial" w:cs="Arial"/>
          <w:sz w:val="18"/>
          <w:szCs w:val="18"/>
        </w:rPr>
        <w:t>defined as having chemotherapy, immunosuppressants, or chronic steroids</w:t>
      </w:r>
    </w:p>
    <w:p w14:paraId="6285C7B4" w14:textId="77777777" w:rsidR="00183E41" w:rsidRPr="00A07423" w:rsidRDefault="00183E41" w:rsidP="00183E41">
      <w:pPr>
        <w:spacing w:line="264" w:lineRule="auto"/>
        <w:rPr>
          <w:rFonts w:ascii="Arial" w:hAnsi="Arial" w:cs="Arial"/>
          <w:sz w:val="18"/>
          <w:szCs w:val="18"/>
        </w:rPr>
      </w:pPr>
      <w:r>
        <w:rPr>
          <w:rFonts w:ascii="Arial" w:hAnsi="Arial" w:cs="Arial"/>
          <w:sz w:val="18"/>
          <w:szCs w:val="18"/>
        </w:rPr>
        <w:t>*</w:t>
      </w:r>
      <w:proofErr w:type="gramStart"/>
      <w:r>
        <w:rPr>
          <w:rFonts w:ascii="Arial" w:hAnsi="Arial" w:cs="Arial"/>
          <w:sz w:val="18"/>
          <w:szCs w:val="18"/>
        </w:rPr>
        <w:t>cells</w:t>
      </w:r>
      <w:proofErr w:type="gramEnd"/>
      <w:r>
        <w:rPr>
          <w:rFonts w:ascii="Arial" w:hAnsi="Arial" w:cs="Arial"/>
          <w:sz w:val="18"/>
          <w:szCs w:val="18"/>
        </w:rPr>
        <w:t xml:space="preserve"> intentionally left empty</w:t>
      </w:r>
    </w:p>
    <w:p w14:paraId="414B336F" w14:textId="77777777" w:rsidR="00183E41" w:rsidRPr="00423C5B" w:rsidRDefault="00183E41" w:rsidP="00183E41">
      <w:pPr>
        <w:rPr>
          <w:rFonts w:ascii="Arial" w:hAnsi="Arial" w:cs="Arial"/>
        </w:rPr>
      </w:pPr>
    </w:p>
    <w:p w14:paraId="7D010A81" w14:textId="77777777" w:rsidR="00183E41" w:rsidRPr="00423C5B" w:rsidRDefault="00183E41" w:rsidP="00183E41">
      <w:pPr>
        <w:rPr>
          <w:rFonts w:ascii="Arial" w:hAnsi="Arial" w:cs="Arial"/>
        </w:rPr>
      </w:pPr>
    </w:p>
    <w:p w14:paraId="2BFCE742" w14:textId="77777777" w:rsidR="00183E41" w:rsidRPr="00423C5B" w:rsidRDefault="00183E41" w:rsidP="00183E41">
      <w:pPr>
        <w:rPr>
          <w:rFonts w:ascii="Arial" w:hAnsi="Arial" w:cs="Arial"/>
        </w:rPr>
      </w:pPr>
    </w:p>
    <w:p w14:paraId="20409423" w14:textId="77777777" w:rsidR="00183E41" w:rsidRPr="00423C5B" w:rsidRDefault="00183E41" w:rsidP="00183E41">
      <w:pPr>
        <w:rPr>
          <w:rFonts w:ascii="Arial" w:hAnsi="Arial" w:cs="Arial"/>
        </w:rPr>
      </w:pPr>
      <w:r w:rsidRPr="00423C5B">
        <w:rPr>
          <w:rFonts w:ascii="Arial" w:hAnsi="Arial" w:cs="Arial"/>
        </w:rPr>
        <w:br w:type="page"/>
      </w:r>
    </w:p>
    <w:p w14:paraId="687FCF4A" w14:textId="04C58C0D" w:rsidR="00183E41" w:rsidRDefault="00183E41" w:rsidP="00183E41">
      <w:pPr>
        <w:spacing w:line="264" w:lineRule="auto"/>
        <w:rPr>
          <w:rFonts w:ascii="Arial" w:hAnsi="Arial" w:cs="Arial"/>
          <w:sz w:val="22"/>
          <w:szCs w:val="22"/>
        </w:rPr>
      </w:pPr>
      <w:r w:rsidRPr="00C53AA8">
        <w:rPr>
          <w:rFonts w:ascii="Arial" w:hAnsi="Arial" w:cs="Arial"/>
          <w:b/>
          <w:bCs/>
          <w:sz w:val="22"/>
          <w:szCs w:val="22"/>
        </w:rPr>
        <w:lastRenderedPageBreak/>
        <w:t>Table 1</w:t>
      </w:r>
      <w:r w:rsidR="00D271BC">
        <w:rPr>
          <w:rFonts w:ascii="Arial" w:hAnsi="Arial" w:cs="Arial"/>
          <w:b/>
          <w:bCs/>
          <w:sz w:val="22"/>
          <w:szCs w:val="22"/>
        </w:rPr>
        <w:t>7</w:t>
      </w:r>
      <w:r w:rsidRPr="00C53AA8">
        <w:rPr>
          <w:rFonts w:ascii="Arial" w:hAnsi="Arial" w:cs="Arial"/>
          <w:b/>
          <w:bCs/>
          <w:sz w:val="22"/>
          <w:szCs w:val="22"/>
        </w:rPr>
        <w:t>.</w:t>
      </w:r>
      <w:r w:rsidRPr="00C53AA8">
        <w:rPr>
          <w:rFonts w:ascii="Arial" w:hAnsi="Arial" w:cs="Arial"/>
          <w:sz w:val="22"/>
          <w:szCs w:val="22"/>
        </w:rPr>
        <w:t xml:space="preserve"> Characteristics of the University of Utah patients in the testing dataset: all included patients, patients with excess antibiotic duration, and patients with duration consistent with clinical guidelines.</w:t>
      </w:r>
    </w:p>
    <w:p w14:paraId="0A403C27" w14:textId="77777777" w:rsidR="00183E41" w:rsidRPr="00C53AA8" w:rsidRDefault="00183E41" w:rsidP="00183E41">
      <w:pPr>
        <w:spacing w:line="264" w:lineRule="auto"/>
        <w:rPr>
          <w:rFonts w:ascii="Arial" w:hAnsi="Arial" w:cs="Arial"/>
          <w:sz w:val="22"/>
          <w:szCs w:val="2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Caption w:val="Table 11. Characteristics of the University of Utah patients in the testing dataset."/>
        <w:tblDescription w:val="Table 11 shows that University of Utah patients had a median age of 60, were primariliy white (80%), non-Hispanic (86%) and were evenly split for gender (50% female; 50% male) and had a wide range of co-morbidities. Patients who received excess antibiotic duration (7 or more days) were not appreciably different from those with appropriate duration (&lt;7 days) for any demographic or clinical co-morbidity variable."/>
      </w:tblPr>
      <w:tblGrid>
        <w:gridCol w:w="4045"/>
        <w:gridCol w:w="2010"/>
        <w:gridCol w:w="2010"/>
        <w:gridCol w:w="2010"/>
      </w:tblGrid>
      <w:tr w:rsidR="00183E41" w:rsidRPr="00C53AA8" w14:paraId="67B0F4CE" w14:textId="77777777" w:rsidTr="00E75BA0">
        <w:trPr>
          <w:cantSplit/>
          <w:trHeight w:val="145"/>
          <w:tblHeader/>
        </w:trPr>
        <w:tc>
          <w:tcPr>
            <w:tcW w:w="4045" w:type="dxa"/>
            <w:shd w:val="clear" w:color="auto" w:fill="FFFFFF"/>
            <w:tcMar>
              <w:left w:w="19" w:type="dxa"/>
              <w:right w:w="19" w:type="dxa"/>
            </w:tcMar>
            <w:vAlign w:val="bottom"/>
          </w:tcPr>
          <w:p w14:paraId="5D5057B8" w14:textId="77777777" w:rsidR="00183E41" w:rsidRPr="00C53AA8" w:rsidRDefault="00183E41" w:rsidP="00E75BA0">
            <w:pPr>
              <w:keepNext/>
              <w:adjustRightInd w:val="0"/>
              <w:spacing w:line="264" w:lineRule="auto"/>
              <w:rPr>
                <w:rFonts w:ascii="Arial" w:hAnsi="Arial" w:cs="Arial"/>
                <w:b/>
                <w:bCs/>
                <w:color w:val="000000"/>
                <w:sz w:val="22"/>
                <w:szCs w:val="22"/>
              </w:rPr>
            </w:pPr>
            <w:bookmarkStart w:id="26" w:name="_Hlk181121982"/>
            <w:r w:rsidRPr="00C53AA8">
              <w:rPr>
                <w:rFonts w:ascii="Arial" w:hAnsi="Arial" w:cs="Arial"/>
                <w:b/>
                <w:bCs/>
                <w:color w:val="000000"/>
                <w:sz w:val="22"/>
                <w:szCs w:val="22"/>
              </w:rPr>
              <w:t>Variable</w:t>
            </w:r>
          </w:p>
        </w:tc>
        <w:tc>
          <w:tcPr>
            <w:tcW w:w="2010" w:type="dxa"/>
            <w:shd w:val="clear" w:color="auto" w:fill="FFFFFF"/>
            <w:vAlign w:val="bottom"/>
          </w:tcPr>
          <w:p w14:paraId="6E42067B" w14:textId="77777777" w:rsidR="00183E41" w:rsidRPr="00A55D68" w:rsidRDefault="00183E41" w:rsidP="00E75BA0">
            <w:pPr>
              <w:keepNext/>
              <w:adjustRightInd w:val="0"/>
              <w:spacing w:line="264" w:lineRule="auto"/>
              <w:jc w:val="center"/>
              <w:rPr>
                <w:rFonts w:ascii="Arial" w:hAnsi="Arial" w:cs="Arial"/>
                <w:b/>
                <w:bCs/>
                <w:color w:val="000000"/>
                <w:sz w:val="22"/>
                <w:szCs w:val="22"/>
              </w:rPr>
            </w:pPr>
            <w:r>
              <w:rPr>
                <w:rFonts w:ascii="Arial" w:hAnsi="Arial" w:cs="Arial"/>
                <w:b/>
                <w:bCs/>
                <w:color w:val="000000"/>
                <w:sz w:val="22"/>
                <w:szCs w:val="22"/>
              </w:rPr>
              <w:t>All Eligible Patients</w:t>
            </w:r>
            <w:r w:rsidRPr="00A55D68">
              <w:rPr>
                <w:rFonts w:ascii="Arial" w:hAnsi="Arial" w:cs="Arial"/>
                <w:b/>
                <w:bCs/>
                <w:color w:val="000000"/>
                <w:sz w:val="22"/>
                <w:szCs w:val="22"/>
              </w:rPr>
              <w:t xml:space="preserve">                                       n=313</w:t>
            </w:r>
          </w:p>
        </w:tc>
        <w:tc>
          <w:tcPr>
            <w:tcW w:w="2010" w:type="dxa"/>
            <w:shd w:val="clear" w:color="auto" w:fill="FFFFFF"/>
            <w:tcMar>
              <w:left w:w="19" w:type="dxa"/>
              <w:right w:w="19" w:type="dxa"/>
            </w:tcMar>
          </w:tcPr>
          <w:p w14:paraId="75FF9850" w14:textId="77777777" w:rsidR="00183E41" w:rsidRDefault="00183E41" w:rsidP="00E75BA0">
            <w:pPr>
              <w:keepNext/>
              <w:adjustRightInd w:val="0"/>
              <w:spacing w:line="264" w:lineRule="auto"/>
              <w:jc w:val="center"/>
              <w:rPr>
                <w:rFonts w:ascii="Arial" w:hAnsi="Arial" w:cs="Arial"/>
                <w:b/>
                <w:bCs/>
                <w:color w:val="000000"/>
                <w:sz w:val="22"/>
                <w:szCs w:val="22"/>
              </w:rPr>
            </w:pPr>
            <w:r w:rsidRPr="00A55D68">
              <w:rPr>
                <w:rFonts w:ascii="Arial" w:hAnsi="Arial" w:cs="Arial"/>
                <w:b/>
                <w:bCs/>
                <w:color w:val="000000"/>
                <w:sz w:val="22"/>
                <w:szCs w:val="22"/>
              </w:rPr>
              <w:t xml:space="preserve">Duration ≥ 7 Days </w:t>
            </w:r>
          </w:p>
          <w:p w14:paraId="69832A2C" w14:textId="77777777" w:rsidR="00183E41" w:rsidRDefault="00183E41" w:rsidP="00E75BA0">
            <w:pPr>
              <w:keepNext/>
              <w:adjustRightInd w:val="0"/>
              <w:spacing w:line="264" w:lineRule="auto"/>
              <w:jc w:val="center"/>
              <w:rPr>
                <w:rFonts w:ascii="Arial" w:hAnsi="Arial" w:cs="Arial"/>
                <w:b/>
                <w:bCs/>
                <w:color w:val="000000"/>
                <w:sz w:val="22"/>
                <w:szCs w:val="22"/>
              </w:rPr>
            </w:pPr>
            <w:r w:rsidRPr="00A55D68">
              <w:rPr>
                <w:rFonts w:ascii="Arial" w:hAnsi="Arial" w:cs="Arial"/>
                <w:b/>
                <w:bCs/>
                <w:color w:val="000000"/>
                <w:sz w:val="22"/>
                <w:szCs w:val="22"/>
              </w:rPr>
              <w:t>n=125</w:t>
            </w:r>
          </w:p>
          <w:p w14:paraId="67F5D697" w14:textId="77777777" w:rsidR="00183E41" w:rsidRPr="00A55D68" w:rsidRDefault="00183E41" w:rsidP="00E75BA0">
            <w:pPr>
              <w:keepNext/>
              <w:adjustRightInd w:val="0"/>
              <w:spacing w:line="264" w:lineRule="auto"/>
              <w:jc w:val="center"/>
              <w:rPr>
                <w:rFonts w:ascii="Arial" w:hAnsi="Arial" w:cs="Arial"/>
                <w:b/>
                <w:bCs/>
                <w:color w:val="000000"/>
                <w:sz w:val="22"/>
                <w:szCs w:val="22"/>
              </w:rPr>
            </w:pPr>
            <w:r>
              <w:rPr>
                <w:rFonts w:ascii="Arial" w:hAnsi="Arial" w:cs="Arial"/>
                <w:b/>
                <w:bCs/>
                <w:color w:val="000000"/>
                <w:sz w:val="22"/>
                <w:szCs w:val="22"/>
              </w:rPr>
              <w:t>(39.9%)</w:t>
            </w:r>
          </w:p>
        </w:tc>
        <w:tc>
          <w:tcPr>
            <w:tcW w:w="2010" w:type="dxa"/>
            <w:shd w:val="clear" w:color="auto" w:fill="FFFFFF"/>
            <w:tcMar>
              <w:left w:w="19" w:type="dxa"/>
              <w:right w:w="19" w:type="dxa"/>
            </w:tcMar>
          </w:tcPr>
          <w:p w14:paraId="5D363B51" w14:textId="77777777" w:rsidR="00183E41" w:rsidRDefault="00183E41" w:rsidP="00E75BA0">
            <w:pPr>
              <w:keepNext/>
              <w:adjustRightInd w:val="0"/>
              <w:spacing w:line="264" w:lineRule="auto"/>
              <w:jc w:val="center"/>
              <w:rPr>
                <w:rFonts w:ascii="Arial" w:hAnsi="Arial" w:cs="Arial"/>
                <w:b/>
                <w:bCs/>
                <w:color w:val="000000"/>
                <w:sz w:val="22"/>
                <w:szCs w:val="22"/>
              </w:rPr>
            </w:pPr>
            <w:r w:rsidRPr="00A55D68">
              <w:rPr>
                <w:rFonts w:ascii="Arial" w:hAnsi="Arial" w:cs="Arial"/>
                <w:b/>
                <w:bCs/>
                <w:color w:val="000000"/>
                <w:sz w:val="22"/>
                <w:szCs w:val="22"/>
              </w:rPr>
              <w:t>Duration &lt; 7 Days n=188</w:t>
            </w:r>
          </w:p>
          <w:p w14:paraId="048E71D0" w14:textId="77777777" w:rsidR="00183E41" w:rsidRPr="00A55D68" w:rsidRDefault="00183E41" w:rsidP="00E75BA0">
            <w:pPr>
              <w:keepNext/>
              <w:adjustRightInd w:val="0"/>
              <w:spacing w:line="264" w:lineRule="auto"/>
              <w:jc w:val="center"/>
              <w:rPr>
                <w:rFonts w:ascii="Arial" w:hAnsi="Arial" w:cs="Arial"/>
                <w:b/>
                <w:bCs/>
                <w:color w:val="000000"/>
                <w:sz w:val="22"/>
                <w:szCs w:val="22"/>
              </w:rPr>
            </w:pPr>
            <w:r>
              <w:rPr>
                <w:rFonts w:ascii="Arial" w:hAnsi="Arial" w:cs="Arial"/>
                <w:b/>
                <w:bCs/>
                <w:color w:val="000000"/>
                <w:sz w:val="22"/>
                <w:szCs w:val="22"/>
              </w:rPr>
              <w:t>(60.1%)</w:t>
            </w:r>
          </w:p>
        </w:tc>
      </w:tr>
      <w:tr w:rsidR="00183E41" w:rsidRPr="00C53AA8" w14:paraId="59066651" w14:textId="77777777" w:rsidTr="00E75BA0">
        <w:trPr>
          <w:cantSplit/>
          <w:trHeight w:val="145"/>
        </w:trPr>
        <w:tc>
          <w:tcPr>
            <w:tcW w:w="4045" w:type="dxa"/>
            <w:shd w:val="clear" w:color="auto" w:fill="FFFFFF"/>
            <w:tcMar>
              <w:left w:w="19" w:type="dxa"/>
              <w:right w:w="19" w:type="dxa"/>
            </w:tcMar>
            <w:vAlign w:val="center"/>
          </w:tcPr>
          <w:p w14:paraId="0AAC5E2D" w14:textId="77777777" w:rsidR="00183E41" w:rsidRPr="00C53AA8" w:rsidRDefault="00183E41" w:rsidP="00E75BA0">
            <w:pPr>
              <w:adjustRightInd w:val="0"/>
              <w:spacing w:line="264" w:lineRule="auto"/>
              <w:rPr>
                <w:rFonts w:ascii="Arial" w:hAnsi="Arial" w:cs="Arial"/>
                <w:color w:val="000000"/>
                <w:sz w:val="22"/>
                <w:szCs w:val="22"/>
              </w:rPr>
            </w:pPr>
            <w:r w:rsidRPr="00C53AA8">
              <w:rPr>
                <w:rFonts w:ascii="Arial" w:hAnsi="Arial" w:cs="Arial"/>
                <w:color w:val="000000"/>
                <w:sz w:val="22"/>
                <w:szCs w:val="22"/>
              </w:rPr>
              <w:t>Age</w:t>
            </w:r>
            <w:r>
              <w:rPr>
                <w:rFonts w:ascii="Arial" w:hAnsi="Arial" w:cs="Arial"/>
                <w:color w:val="000000"/>
                <w:sz w:val="22"/>
                <w:szCs w:val="22"/>
              </w:rPr>
              <w:t>. m</w:t>
            </w:r>
            <w:r w:rsidRPr="00C53AA8">
              <w:rPr>
                <w:rFonts w:ascii="Arial" w:hAnsi="Arial" w:cs="Arial"/>
                <w:color w:val="000000"/>
                <w:sz w:val="22"/>
                <w:szCs w:val="22"/>
              </w:rPr>
              <w:t>edian (IQR)</w:t>
            </w:r>
          </w:p>
        </w:tc>
        <w:tc>
          <w:tcPr>
            <w:tcW w:w="2010" w:type="dxa"/>
            <w:shd w:val="clear" w:color="auto" w:fill="FFFFFF"/>
          </w:tcPr>
          <w:p w14:paraId="11A5A7F0"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60 (44</w:t>
            </w:r>
            <w:r>
              <w:rPr>
                <w:rFonts w:ascii="Arial" w:hAnsi="Arial" w:cs="Arial"/>
                <w:sz w:val="22"/>
                <w:szCs w:val="22"/>
              </w:rPr>
              <w:t>-</w:t>
            </w:r>
            <w:r w:rsidRPr="00C53AA8">
              <w:rPr>
                <w:rFonts w:ascii="Arial" w:hAnsi="Arial" w:cs="Arial"/>
                <w:sz w:val="22"/>
                <w:szCs w:val="22"/>
              </w:rPr>
              <w:t>75)</w:t>
            </w:r>
          </w:p>
        </w:tc>
        <w:tc>
          <w:tcPr>
            <w:tcW w:w="2010" w:type="dxa"/>
            <w:shd w:val="clear" w:color="auto" w:fill="FFFFFF"/>
            <w:tcMar>
              <w:left w:w="19" w:type="dxa"/>
              <w:right w:w="19" w:type="dxa"/>
            </w:tcMar>
          </w:tcPr>
          <w:p w14:paraId="1B284F86"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58 (44</w:t>
            </w:r>
            <w:r>
              <w:rPr>
                <w:rFonts w:ascii="Arial" w:hAnsi="Arial" w:cs="Arial"/>
                <w:sz w:val="22"/>
                <w:szCs w:val="22"/>
              </w:rPr>
              <w:t>-</w:t>
            </w:r>
            <w:r w:rsidRPr="00C53AA8">
              <w:rPr>
                <w:rFonts w:ascii="Arial" w:hAnsi="Arial" w:cs="Arial"/>
                <w:sz w:val="22"/>
                <w:szCs w:val="22"/>
              </w:rPr>
              <w:t>72)</w:t>
            </w:r>
          </w:p>
        </w:tc>
        <w:tc>
          <w:tcPr>
            <w:tcW w:w="2010" w:type="dxa"/>
            <w:shd w:val="clear" w:color="auto" w:fill="FFFFFF"/>
            <w:tcMar>
              <w:left w:w="19" w:type="dxa"/>
              <w:right w:w="19" w:type="dxa"/>
            </w:tcMar>
          </w:tcPr>
          <w:p w14:paraId="747F7708"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6</w:t>
            </w:r>
            <w:r>
              <w:rPr>
                <w:rFonts w:ascii="Arial" w:hAnsi="Arial" w:cs="Arial"/>
                <w:sz w:val="22"/>
                <w:szCs w:val="22"/>
              </w:rPr>
              <w:t>0</w:t>
            </w:r>
            <w:r w:rsidRPr="00C53AA8">
              <w:rPr>
                <w:rFonts w:ascii="Arial" w:hAnsi="Arial" w:cs="Arial"/>
                <w:sz w:val="22"/>
                <w:szCs w:val="22"/>
              </w:rPr>
              <w:t xml:space="preserve"> (4</w:t>
            </w:r>
            <w:r>
              <w:rPr>
                <w:rFonts w:ascii="Arial" w:hAnsi="Arial" w:cs="Arial"/>
                <w:sz w:val="22"/>
                <w:szCs w:val="22"/>
              </w:rPr>
              <w:t>5-</w:t>
            </w:r>
            <w:r w:rsidRPr="00C53AA8">
              <w:rPr>
                <w:rFonts w:ascii="Arial" w:hAnsi="Arial" w:cs="Arial"/>
                <w:sz w:val="22"/>
                <w:szCs w:val="22"/>
              </w:rPr>
              <w:t>76)</w:t>
            </w:r>
          </w:p>
        </w:tc>
      </w:tr>
      <w:tr w:rsidR="00183E41" w:rsidRPr="00C53AA8" w14:paraId="114A1E07" w14:textId="77777777" w:rsidTr="00E75BA0">
        <w:trPr>
          <w:cantSplit/>
          <w:trHeight w:val="145"/>
        </w:trPr>
        <w:tc>
          <w:tcPr>
            <w:tcW w:w="4045" w:type="dxa"/>
            <w:shd w:val="clear" w:color="auto" w:fill="FFFFFF"/>
            <w:tcMar>
              <w:left w:w="19" w:type="dxa"/>
              <w:right w:w="19" w:type="dxa"/>
            </w:tcMar>
          </w:tcPr>
          <w:p w14:paraId="6590075E"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&lt;65 years</w:t>
            </w:r>
            <w:r>
              <w:rPr>
                <w:rFonts w:ascii="Arial" w:hAnsi="Arial" w:cs="Arial"/>
                <w:color w:val="000000"/>
                <w:sz w:val="22"/>
                <w:szCs w:val="22"/>
              </w:rPr>
              <w:t>,</w:t>
            </w:r>
            <w:r w:rsidRPr="00C53AA8">
              <w:rPr>
                <w:rFonts w:ascii="Arial" w:hAnsi="Arial" w:cs="Arial"/>
                <w:color w:val="000000"/>
                <w:sz w:val="22"/>
                <w:szCs w:val="22"/>
              </w:rPr>
              <w:t xml:space="preserve"> n(%) </w:t>
            </w:r>
          </w:p>
        </w:tc>
        <w:tc>
          <w:tcPr>
            <w:tcW w:w="2010" w:type="dxa"/>
            <w:shd w:val="clear" w:color="auto" w:fill="FFFFFF"/>
          </w:tcPr>
          <w:p w14:paraId="6177881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180 (57.5)</w:t>
            </w:r>
          </w:p>
        </w:tc>
        <w:tc>
          <w:tcPr>
            <w:tcW w:w="2010" w:type="dxa"/>
            <w:shd w:val="clear" w:color="auto" w:fill="FFFFFF"/>
            <w:tcMar>
              <w:left w:w="19" w:type="dxa"/>
              <w:right w:w="19" w:type="dxa"/>
            </w:tcMar>
          </w:tcPr>
          <w:p w14:paraId="41AD16F3"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77 (61.6)</w:t>
            </w:r>
          </w:p>
        </w:tc>
        <w:tc>
          <w:tcPr>
            <w:tcW w:w="2010" w:type="dxa"/>
            <w:shd w:val="clear" w:color="auto" w:fill="FFFFFF"/>
            <w:tcMar>
              <w:left w:w="19" w:type="dxa"/>
              <w:right w:w="19" w:type="dxa"/>
            </w:tcMar>
          </w:tcPr>
          <w:p w14:paraId="28564963"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103 (54.8)</w:t>
            </w:r>
          </w:p>
        </w:tc>
      </w:tr>
      <w:tr w:rsidR="00183E41" w:rsidRPr="00C53AA8" w14:paraId="166AAC29" w14:textId="77777777" w:rsidTr="00E75BA0">
        <w:trPr>
          <w:cantSplit/>
          <w:trHeight w:val="145"/>
        </w:trPr>
        <w:tc>
          <w:tcPr>
            <w:tcW w:w="4045" w:type="dxa"/>
            <w:shd w:val="clear" w:color="auto" w:fill="FFFFFF"/>
            <w:tcMar>
              <w:left w:w="19" w:type="dxa"/>
              <w:right w:w="19" w:type="dxa"/>
            </w:tcMar>
          </w:tcPr>
          <w:p w14:paraId="636EBBD2"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sz w:val="22"/>
                <w:szCs w:val="22"/>
              </w:rPr>
              <w:t>65-74 years</w:t>
            </w:r>
            <w:r>
              <w:rPr>
                <w:rFonts w:ascii="Arial" w:hAnsi="Arial" w:cs="Arial"/>
                <w:sz w:val="22"/>
                <w:szCs w:val="22"/>
              </w:rPr>
              <w:t>,</w:t>
            </w:r>
            <w:r w:rsidRPr="00C53AA8">
              <w:rPr>
                <w:rFonts w:ascii="Arial" w:hAnsi="Arial" w:cs="Arial"/>
                <w:color w:val="000000"/>
                <w:sz w:val="22"/>
                <w:szCs w:val="22"/>
              </w:rPr>
              <w:t xml:space="preserve"> n(%)</w:t>
            </w:r>
            <w:r w:rsidRPr="00C53AA8">
              <w:rPr>
                <w:rFonts w:ascii="Arial" w:hAnsi="Arial" w:cs="Arial"/>
                <w:sz w:val="22"/>
                <w:szCs w:val="22"/>
              </w:rPr>
              <w:t xml:space="preserve"> </w:t>
            </w:r>
          </w:p>
        </w:tc>
        <w:tc>
          <w:tcPr>
            <w:tcW w:w="2010" w:type="dxa"/>
            <w:shd w:val="clear" w:color="auto" w:fill="FFFFFF"/>
          </w:tcPr>
          <w:p w14:paraId="2A2859DB"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54 (17.3)</w:t>
            </w:r>
          </w:p>
        </w:tc>
        <w:tc>
          <w:tcPr>
            <w:tcW w:w="2010" w:type="dxa"/>
            <w:shd w:val="clear" w:color="auto" w:fill="FFFFFF"/>
            <w:tcMar>
              <w:left w:w="19" w:type="dxa"/>
              <w:right w:w="19" w:type="dxa"/>
            </w:tcMar>
          </w:tcPr>
          <w:p w14:paraId="690BF5FB"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21 (16.8)</w:t>
            </w:r>
          </w:p>
        </w:tc>
        <w:tc>
          <w:tcPr>
            <w:tcW w:w="2010" w:type="dxa"/>
            <w:shd w:val="clear" w:color="auto" w:fill="FFFFFF"/>
            <w:tcMar>
              <w:left w:w="19" w:type="dxa"/>
              <w:right w:w="19" w:type="dxa"/>
            </w:tcMar>
          </w:tcPr>
          <w:p w14:paraId="0AE88CB5"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33 (17.6)</w:t>
            </w:r>
          </w:p>
        </w:tc>
      </w:tr>
      <w:tr w:rsidR="00183E41" w:rsidRPr="00C53AA8" w14:paraId="738BAB54" w14:textId="77777777" w:rsidTr="00E75BA0">
        <w:trPr>
          <w:cantSplit/>
          <w:trHeight w:val="145"/>
        </w:trPr>
        <w:tc>
          <w:tcPr>
            <w:tcW w:w="4045" w:type="dxa"/>
            <w:shd w:val="clear" w:color="auto" w:fill="FFFFFF"/>
            <w:tcMar>
              <w:left w:w="19" w:type="dxa"/>
              <w:right w:w="19" w:type="dxa"/>
            </w:tcMar>
          </w:tcPr>
          <w:p w14:paraId="155B6169"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sz w:val="22"/>
                <w:szCs w:val="22"/>
                <w:u w:val="single"/>
              </w:rPr>
              <w:t>&gt;</w:t>
            </w:r>
            <w:r w:rsidRPr="00C53AA8">
              <w:rPr>
                <w:rFonts w:ascii="Arial" w:hAnsi="Arial" w:cs="Arial"/>
                <w:sz w:val="22"/>
                <w:szCs w:val="22"/>
              </w:rPr>
              <w:t xml:space="preserve"> 75 years</w:t>
            </w:r>
            <w:r>
              <w:rPr>
                <w:rFonts w:ascii="Arial" w:hAnsi="Arial" w:cs="Arial"/>
                <w:sz w:val="22"/>
                <w:szCs w:val="22"/>
              </w:rPr>
              <w:t>,</w:t>
            </w:r>
            <w:r w:rsidRPr="00C53AA8">
              <w:rPr>
                <w:rFonts w:ascii="Arial" w:hAnsi="Arial" w:cs="Arial"/>
                <w:color w:val="000000"/>
                <w:sz w:val="22"/>
                <w:szCs w:val="22"/>
              </w:rPr>
              <w:t xml:space="preserve"> n(%)</w:t>
            </w:r>
            <w:r w:rsidRPr="00C53AA8">
              <w:rPr>
                <w:rFonts w:ascii="Arial" w:hAnsi="Arial" w:cs="Arial"/>
                <w:sz w:val="22"/>
                <w:szCs w:val="22"/>
              </w:rPr>
              <w:t xml:space="preserve"> </w:t>
            </w:r>
          </w:p>
        </w:tc>
        <w:tc>
          <w:tcPr>
            <w:tcW w:w="2010" w:type="dxa"/>
            <w:shd w:val="clear" w:color="auto" w:fill="FFFFFF"/>
          </w:tcPr>
          <w:p w14:paraId="6DB4BBAE" w14:textId="77777777" w:rsidR="00183E41" w:rsidRPr="00C53AA8" w:rsidRDefault="00183E41" w:rsidP="00E75BA0">
            <w:pPr>
              <w:adjustRightInd w:val="0"/>
              <w:spacing w:line="264" w:lineRule="auto"/>
              <w:jc w:val="center"/>
              <w:rPr>
                <w:rFonts w:ascii="Arial" w:hAnsi="Arial" w:cs="Arial"/>
                <w:sz w:val="22"/>
                <w:szCs w:val="22"/>
              </w:rPr>
            </w:pPr>
            <w:r w:rsidRPr="00C53AA8">
              <w:rPr>
                <w:rFonts w:ascii="Arial" w:hAnsi="Arial" w:cs="Arial"/>
                <w:sz w:val="22"/>
                <w:szCs w:val="22"/>
              </w:rPr>
              <w:t>79 (25.2)</w:t>
            </w:r>
          </w:p>
        </w:tc>
        <w:tc>
          <w:tcPr>
            <w:tcW w:w="2010" w:type="dxa"/>
            <w:shd w:val="clear" w:color="auto" w:fill="FFFFFF"/>
            <w:tcMar>
              <w:left w:w="19" w:type="dxa"/>
              <w:right w:w="19" w:type="dxa"/>
            </w:tcMar>
          </w:tcPr>
          <w:p w14:paraId="4990E770"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27 (21.6)</w:t>
            </w:r>
          </w:p>
        </w:tc>
        <w:tc>
          <w:tcPr>
            <w:tcW w:w="2010" w:type="dxa"/>
            <w:shd w:val="clear" w:color="auto" w:fill="FFFFFF"/>
            <w:tcMar>
              <w:left w:w="19" w:type="dxa"/>
              <w:right w:w="19" w:type="dxa"/>
            </w:tcMar>
          </w:tcPr>
          <w:p w14:paraId="570B9CD0"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52 (27.7)</w:t>
            </w:r>
          </w:p>
        </w:tc>
      </w:tr>
      <w:tr w:rsidR="00183E41" w:rsidRPr="00C53AA8" w14:paraId="41E9FA24" w14:textId="77777777" w:rsidTr="00E75BA0">
        <w:trPr>
          <w:cantSplit/>
          <w:trHeight w:val="145"/>
        </w:trPr>
        <w:tc>
          <w:tcPr>
            <w:tcW w:w="4045" w:type="dxa"/>
            <w:shd w:val="clear" w:color="auto" w:fill="FFFFFF"/>
            <w:tcMar>
              <w:left w:w="19" w:type="dxa"/>
              <w:right w:w="19" w:type="dxa"/>
            </w:tcMar>
          </w:tcPr>
          <w:p w14:paraId="5038B891" w14:textId="77777777" w:rsidR="00183E41" w:rsidRPr="00C53AA8" w:rsidRDefault="00183E41" w:rsidP="00E75BA0">
            <w:pPr>
              <w:adjustRightInd w:val="0"/>
              <w:spacing w:line="264" w:lineRule="auto"/>
              <w:rPr>
                <w:rFonts w:ascii="Arial" w:hAnsi="Arial" w:cs="Arial"/>
                <w:color w:val="000000"/>
                <w:sz w:val="22"/>
                <w:szCs w:val="22"/>
              </w:rPr>
            </w:pPr>
            <w:r w:rsidRPr="00C53AA8">
              <w:rPr>
                <w:rFonts w:ascii="Arial" w:hAnsi="Arial" w:cs="Arial"/>
                <w:color w:val="000000"/>
                <w:sz w:val="22"/>
                <w:szCs w:val="22"/>
              </w:rPr>
              <w:t>Gender</w:t>
            </w:r>
            <w:r>
              <w:rPr>
                <w:rFonts w:ascii="Arial" w:hAnsi="Arial" w:cs="Arial"/>
                <w:color w:val="000000"/>
                <w:sz w:val="22"/>
                <w:szCs w:val="22"/>
              </w:rPr>
              <w:t xml:space="preserve">, </w:t>
            </w:r>
            <w:r w:rsidRPr="00C53AA8">
              <w:rPr>
                <w:rFonts w:ascii="Arial" w:hAnsi="Arial" w:cs="Arial"/>
                <w:color w:val="000000"/>
                <w:sz w:val="22"/>
                <w:szCs w:val="22"/>
              </w:rPr>
              <w:t>n(%)</w:t>
            </w:r>
          </w:p>
        </w:tc>
        <w:tc>
          <w:tcPr>
            <w:tcW w:w="2010" w:type="dxa"/>
            <w:shd w:val="clear" w:color="auto" w:fill="FFFFFF"/>
            <w:vAlign w:val="center"/>
          </w:tcPr>
          <w:p w14:paraId="2B0D60AE"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3B42AA0F"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0782D9CB"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r>
      <w:tr w:rsidR="00183E41" w:rsidRPr="00C53AA8" w14:paraId="01998F63" w14:textId="77777777" w:rsidTr="00E75BA0">
        <w:trPr>
          <w:cantSplit/>
          <w:trHeight w:val="145"/>
        </w:trPr>
        <w:tc>
          <w:tcPr>
            <w:tcW w:w="4045" w:type="dxa"/>
            <w:shd w:val="clear" w:color="auto" w:fill="FFFFFF"/>
            <w:tcMar>
              <w:left w:w="19" w:type="dxa"/>
              <w:right w:w="19" w:type="dxa"/>
            </w:tcMar>
          </w:tcPr>
          <w:p w14:paraId="482E1629"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Female </w:t>
            </w:r>
          </w:p>
        </w:tc>
        <w:tc>
          <w:tcPr>
            <w:tcW w:w="2010" w:type="dxa"/>
            <w:shd w:val="clear" w:color="auto" w:fill="FFFFFF"/>
          </w:tcPr>
          <w:p w14:paraId="2B150FFE"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155 (49.5)</w:t>
            </w:r>
          </w:p>
        </w:tc>
        <w:tc>
          <w:tcPr>
            <w:tcW w:w="2010" w:type="dxa"/>
            <w:shd w:val="clear" w:color="auto" w:fill="FFFFFF"/>
            <w:tcMar>
              <w:left w:w="19" w:type="dxa"/>
              <w:right w:w="19" w:type="dxa"/>
            </w:tcMar>
          </w:tcPr>
          <w:p w14:paraId="621348BB"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67 (53.6)</w:t>
            </w:r>
          </w:p>
        </w:tc>
        <w:tc>
          <w:tcPr>
            <w:tcW w:w="2010" w:type="dxa"/>
            <w:shd w:val="clear" w:color="auto" w:fill="FFFFFF"/>
            <w:tcMar>
              <w:left w:w="19" w:type="dxa"/>
              <w:right w:w="19" w:type="dxa"/>
            </w:tcMar>
          </w:tcPr>
          <w:p w14:paraId="18DA1663"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88 (46.8)</w:t>
            </w:r>
          </w:p>
        </w:tc>
      </w:tr>
      <w:tr w:rsidR="00183E41" w:rsidRPr="00C53AA8" w14:paraId="16BD25C2" w14:textId="77777777" w:rsidTr="00E75BA0">
        <w:trPr>
          <w:cantSplit/>
          <w:trHeight w:val="145"/>
        </w:trPr>
        <w:tc>
          <w:tcPr>
            <w:tcW w:w="4045" w:type="dxa"/>
            <w:shd w:val="clear" w:color="auto" w:fill="FFFFFF"/>
            <w:tcMar>
              <w:left w:w="19" w:type="dxa"/>
              <w:right w:w="19" w:type="dxa"/>
            </w:tcMar>
          </w:tcPr>
          <w:p w14:paraId="7B1E7E03"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Male </w:t>
            </w:r>
          </w:p>
        </w:tc>
        <w:tc>
          <w:tcPr>
            <w:tcW w:w="2010" w:type="dxa"/>
            <w:shd w:val="clear" w:color="auto" w:fill="FFFFFF"/>
          </w:tcPr>
          <w:p w14:paraId="5BD52A02"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158 (50.5)</w:t>
            </w:r>
          </w:p>
        </w:tc>
        <w:tc>
          <w:tcPr>
            <w:tcW w:w="2010" w:type="dxa"/>
            <w:shd w:val="clear" w:color="auto" w:fill="FFFFFF"/>
            <w:tcMar>
              <w:left w:w="19" w:type="dxa"/>
              <w:right w:w="19" w:type="dxa"/>
            </w:tcMar>
          </w:tcPr>
          <w:p w14:paraId="1BB969EB"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58 (46.4)</w:t>
            </w:r>
          </w:p>
        </w:tc>
        <w:tc>
          <w:tcPr>
            <w:tcW w:w="2010" w:type="dxa"/>
            <w:shd w:val="clear" w:color="auto" w:fill="FFFFFF"/>
            <w:tcMar>
              <w:left w:w="19" w:type="dxa"/>
              <w:right w:w="19" w:type="dxa"/>
            </w:tcMar>
          </w:tcPr>
          <w:p w14:paraId="33211205"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100 (53.2)</w:t>
            </w:r>
          </w:p>
        </w:tc>
      </w:tr>
      <w:tr w:rsidR="00183E41" w:rsidRPr="00C53AA8" w14:paraId="0E4B12CF" w14:textId="77777777" w:rsidTr="00E75BA0">
        <w:trPr>
          <w:cantSplit/>
          <w:trHeight w:val="145"/>
        </w:trPr>
        <w:tc>
          <w:tcPr>
            <w:tcW w:w="4045" w:type="dxa"/>
            <w:shd w:val="clear" w:color="auto" w:fill="FFFFFF"/>
            <w:tcMar>
              <w:left w:w="19" w:type="dxa"/>
              <w:right w:w="19" w:type="dxa"/>
            </w:tcMar>
          </w:tcPr>
          <w:p w14:paraId="715E3214" w14:textId="77777777" w:rsidR="00183E41" w:rsidRPr="00C53AA8" w:rsidRDefault="00183E41" w:rsidP="00E75BA0">
            <w:pPr>
              <w:adjustRightInd w:val="0"/>
              <w:spacing w:line="264" w:lineRule="auto"/>
              <w:rPr>
                <w:rFonts w:ascii="Arial" w:hAnsi="Arial" w:cs="Arial"/>
                <w:color w:val="000000"/>
                <w:sz w:val="22"/>
                <w:szCs w:val="22"/>
              </w:rPr>
            </w:pPr>
            <w:r w:rsidRPr="00C53AA8">
              <w:rPr>
                <w:rFonts w:ascii="Arial" w:hAnsi="Arial" w:cs="Arial"/>
                <w:color w:val="000000"/>
                <w:sz w:val="22"/>
                <w:szCs w:val="22"/>
              </w:rPr>
              <w:t>Race</w:t>
            </w:r>
            <w:r>
              <w:rPr>
                <w:rFonts w:ascii="Arial" w:hAnsi="Arial" w:cs="Arial"/>
                <w:color w:val="000000"/>
                <w:sz w:val="22"/>
                <w:szCs w:val="22"/>
              </w:rPr>
              <w:t xml:space="preserve">, </w:t>
            </w:r>
            <w:r w:rsidRPr="00C53AA8">
              <w:rPr>
                <w:rFonts w:ascii="Arial" w:hAnsi="Arial" w:cs="Arial"/>
                <w:color w:val="000000"/>
                <w:sz w:val="22"/>
                <w:szCs w:val="22"/>
              </w:rPr>
              <w:t>n(%)</w:t>
            </w:r>
          </w:p>
        </w:tc>
        <w:tc>
          <w:tcPr>
            <w:tcW w:w="2010" w:type="dxa"/>
            <w:shd w:val="clear" w:color="auto" w:fill="FFFFFF"/>
            <w:vAlign w:val="center"/>
          </w:tcPr>
          <w:p w14:paraId="45B428B8"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2B8AF3A3"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0CB1710F"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r>
      <w:tr w:rsidR="00183E41" w:rsidRPr="00C53AA8" w14:paraId="7FC335BA" w14:textId="77777777" w:rsidTr="00E75BA0">
        <w:trPr>
          <w:cantSplit/>
          <w:trHeight w:val="145"/>
        </w:trPr>
        <w:tc>
          <w:tcPr>
            <w:tcW w:w="4045" w:type="dxa"/>
            <w:shd w:val="clear" w:color="auto" w:fill="FFFFFF"/>
            <w:tcMar>
              <w:left w:w="19" w:type="dxa"/>
              <w:right w:w="19" w:type="dxa"/>
            </w:tcMar>
          </w:tcPr>
          <w:p w14:paraId="711D582D"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White </w:t>
            </w:r>
          </w:p>
        </w:tc>
        <w:tc>
          <w:tcPr>
            <w:tcW w:w="2010" w:type="dxa"/>
            <w:shd w:val="clear" w:color="auto" w:fill="FFFFFF"/>
          </w:tcPr>
          <w:p w14:paraId="0DCCB368"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247 (79.9)</w:t>
            </w:r>
          </w:p>
        </w:tc>
        <w:tc>
          <w:tcPr>
            <w:tcW w:w="2010" w:type="dxa"/>
            <w:shd w:val="clear" w:color="auto" w:fill="FFFFFF"/>
            <w:tcMar>
              <w:left w:w="19" w:type="dxa"/>
              <w:right w:w="19" w:type="dxa"/>
            </w:tcMar>
          </w:tcPr>
          <w:p w14:paraId="010B5668"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102 (82.3)</w:t>
            </w:r>
          </w:p>
        </w:tc>
        <w:tc>
          <w:tcPr>
            <w:tcW w:w="2010" w:type="dxa"/>
            <w:shd w:val="clear" w:color="auto" w:fill="FFFFFF"/>
            <w:tcMar>
              <w:left w:w="19" w:type="dxa"/>
              <w:right w:w="19" w:type="dxa"/>
            </w:tcMar>
          </w:tcPr>
          <w:p w14:paraId="2AFE7B0C"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145 (78.4)</w:t>
            </w:r>
          </w:p>
        </w:tc>
      </w:tr>
      <w:tr w:rsidR="00183E41" w:rsidRPr="00C53AA8" w14:paraId="550550A6" w14:textId="77777777" w:rsidTr="00E75BA0">
        <w:trPr>
          <w:cantSplit/>
          <w:trHeight w:val="145"/>
        </w:trPr>
        <w:tc>
          <w:tcPr>
            <w:tcW w:w="4045" w:type="dxa"/>
            <w:shd w:val="clear" w:color="auto" w:fill="FFFFFF"/>
            <w:tcMar>
              <w:left w:w="19" w:type="dxa"/>
              <w:right w:w="19" w:type="dxa"/>
            </w:tcMar>
          </w:tcPr>
          <w:p w14:paraId="7EF11904"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Black </w:t>
            </w:r>
          </w:p>
        </w:tc>
        <w:tc>
          <w:tcPr>
            <w:tcW w:w="2010" w:type="dxa"/>
            <w:shd w:val="clear" w:color="auto" w:fill="FFFFFF"/>
          </w:tcPr>
          <w:p w14:paraId="02599B07"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7 (2.3)</w:t>
            </w:r>
          </w:p>
        </w:tc>
        <w:tc>
          <w:tcPr>
            <w:tcW w:w="2010" w:type="dxa"/>
            <w:shd w:val="clear" w:color="auto" w:fill="FFFFFF"/>
            <w:tcMar>
              <w:left w:w="19" w:type="dxa"/>
              <w:right w:w="19" w:type="dxa"/>
            </w:tcMar>
          </w:tcPr>
          <w:p w14:paraId="429D16A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 (0.8)</w:t>
            </w:r>
          </w:p>
        </w:tc>
        <w:tc>
          <w:tcPr>
            <w:tcW w:w="2010" w:type="dxa"/>
            <w:shd w:val="clear" w:color="auto" w:fill="FFFFFF"/>
            <w:tcMar>
              <w:left w:w="19" w:type="dxa"/>
              <w:right w:w="19" w:type="dxa"/>
            </w:tcMar>
          </w:tcPr>
          <w:p w14:paraId="1F7B374D"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6 (3.2)</w:t>
            </w:r>
          </w:p>
        </w:tc>
      </w:tr>
      <w:tr w:rsidR="00183E41" w:rsidRPr="00C53AA8" w14:paraId="52D8F61F" w14:textId="77777777" w:rsidTr="00E75BA0">
        <w:trPr>
          <w:cantSplit/>
          <w:trHeight w:val="145"/>
        </w:trPr>
        <w:tc>
          <w:tcPr>
            <w:tcW w:w="4045" w:type="dxa"/>
            <w:shd w:val="clear" w:color="auto" w:fill="FFFFFF"/>
            <w:tcMar>
              <w:left w:w="19" w:type="dxa"/>
              <w:right w:w="19" w:type="dxa"/>
            </w:tcMar>
          </w:tcPr>
          <w:p w14:paraId="47F3DBAD"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American Indian/Alaska Native </w:t>
            </w:r>
          </w:p>
        </w:tc>
        <w:tc>
          <w:tcPr>
            <w:tcW w:w="2010" w:type="dxa"/>
            <w:shd w:val="clear" w:color="auto" w:fill="FFFFFF"/>
          </w:tcPr>
          <w:p w14:paraId="713F60D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5 (1.6)</w:t>
            </w:r>
          </w:p>
        </w:tc>
        <w:tc>
          <w:tcPr>
            <w:tcW w:w="2010" w:type="dxa"/>
            <w:shd w:val="clear" w:color="auto" w:fill="FFFFFF"/>
            <w:tcMar>
              <w:left w:w="19" w:type="dxa"/>
              <w:right w:w="19" w:type="dxa"/>
            </w:tcMar>
          </w:tcPr>
          <w:p w14:paraId="27735F57"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 (1.6)</w:t>
            </w:r>
          </w:p>
        </w:tc>
        <w:tc>
          <w:tcPr>
            <w:tcW w:w="2010" w:type="dxa"/>
            <w:shd w:val="clear" w:color="auto" w:fill="FFFFFF"/>
            <w:tcMar>
              <w:left w:w="19" w:type="dxa"/>
              <w:right w:w="19" w:type="dxa"/>
            </w:tcMar>
          </w:tcPr>
          <w:p w14:paraId="101D65D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 (1.6)</w:t>
            </w:r>
          </w:p>
        </w:tc>
      </w:tr>
      <w:tr w:rsidR="00183E41" w:rsidRPr="00C53AA8" w14:paraId="5A82A824" w14:textId="77777777" w:rsidTr="00E75BA0">
        <w:trPr>
          <w:cantSplit/>
          <w:trHeight w:val="145"/>
        </w:trPr>
        <w:tc>
          <w:tcPr>
            <w:tcW w:w="4045" w:type="dxa"/>
            <w:shd w:val="clear" w:color="auto" w:fill="FFFFFF"/>
            <w:tcMar>
              <w:left w:w="19" w:type="dxa"/>
              <w:right w:w="19" w:type="dxa"/>
            </w:tcMar>
          </w:tcPr>
          <w:p w14:paraId="6866D741"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Asian </w:t>
            </w:r>
          </w:p>
        </w:tc>
        <w:tc>
          <w:tcPr>
            <w:tcW w:w="2010" w:type="dxa"/>
            <w:shd w:val="clear" w:color="auto" w:fill="FFFFFF"/>
          </w:tcPr>
          <w:p w14:paraId="4C5CCA34"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 (1.0)</w:t>
            </w:r>
          </w:p>
        </w:tc>
        <w:tc>
          <w:tcPr>
            <w:tcW w:w="2010" w:type="dxa"/>
            <w:shd w:val="clear" w:color="auto" w:fill="FFFFFF"/>
            <w:tcMar>
              <w:left w:w="19" w:type="dxa"/>
              <w:right w:w="19" w:type="dxa"/>
            </w:tcMar>
          </w:tcPr>
          <w:p w14:paraId="1EC614D2" w14:textId="77777777" w:rsidR="00183E41" w:rsidRPr="00C53AA8" w:rsidRDefault="00183E41" w:rsidP="00E75BA0">
            <w:pPr>
              <w:adjustRightInd w:val="0"/>
              <w:spacing w:line="264" w:lineRule="auto"/>
              <w:jc w:val="center"/>
              <w:rPr>
                <w:rFonts w:ascii="Arial" w:hAnsi="Arial" w:cs="Arial"/>
                <w:color w:val="000000"/>
                <w:sz w:val="22"/>
                <w:szCs w:val="22"/>
              </w:rPr>
            </w:pPr>
          </w:p>
        </w:tc>
        <w:tc>
          <w:tcPr>
            <w:tcW w:w="2010" w:type="dxa"/>
            <w:shd w:val="clear" w:color="auto" w:fill="FFFFFF"/>
            <w:tcMar>
              <w:left w:w="19" w:type="dxa"/>
              <w:right w:w="19" w:type="dxa"/>
            </w:tcMar>
          </w:tcPr>
          <w:p w14:paraId="30196D4B"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 (1.6)</w:t>
            </w:r>
          </w:p>
        </w:tc>
      </w:tr>
      <w:tr w:rsidR="00183E41" w:rsidRPr="00C53AA8" w14:paraId="6C456D4A" w14:textId="77777777" w:rsidTr="00E75BA0">
        <w:trPr>
          <w:cantSplit/>
          <w:trHeight w:val="145"/>
        </w:trPr>
        <w:tc>
          <w:tcPr>
            <w:tcW w:w="4045" w:type="dxa"/>
            <w:shd w:val="clear" w:color="auto" w:fill="FFFFFF"/>
            <w:tcMar>
              <w:left w:w="19" w:type="dxa"/>
              <w:right w:w="19" w:type="dxa"/>
            </w:tcMar>
          </w:tcPr>
          <w:p w14:paraId="61795B5F"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Native Hawaiian/Pacific Islander </w:t>
            </w:r>
          </w:p>
        </w:tc>
        <w:tc>
          <w:tcPr>
            <w:tcW w:w="2010" w:type="dxa"/>
            <w:shd w:val="clear" w:color="auto" w:fill="FFFFFF"/>
          </w:tcPr>
          <w:p w14:paraId="07B333BE"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4 (1.3)</w:t>
            </w:r>
          </w:p>
        </w:tc>
        <w:tc>
          <w:tcPr>
            <w:tcW w:w="2010" w:type="dxa"/>
            <w:shd w:val="clear" w:color="auto" w:fill="FFFFFF"/>
            <w:tcMar>
              <w:left w:w="19" w:type="dxa"/>
              <w:right w:w="19" w:type="dxa"/>
            </w:tcMar>
          </w:tcPr>
          <w:p w14:paraId="00D4A68A"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 (1.6)</w:t>
            </w:r>
          </w:p>
        </w:tc>
        <w:tc>
          <w:tcPr>
            <w:tcW w:w="2010" w:type="dxa"/>
            <w:shd w:val="clear" w:color="auto" w:fill="FFFFFF"/>
            <w:tcMar>
              <w:left w:w="19" w:type="dxa"/>
              <w:right w:w="19" w:type="dxa"/>
            </w:tcMar>
          </w:tcPr>
          <w:p w14:paraId="7905BD8B"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 (1.1)</w:t>
            </w:r>
          </w:p>
        </w:tc>
      </w:tr>
      <w:tr w:rsidR="00183E41" w:rsidRPr="00C53AA8" w14:paraId="153D6A3D" w14:textId="77777777" w:rsidTr="00E75BA0">
        <w:trPr>
          <w:cantSplit/>
          <w:trHeight w:val="145"/>
        </w:trPr>
        <w:tc>
          <w:tcPr>
            <w:tcW w:w="4045" w:type="dxa"/>
            <w:shd w:val="clear" w:color="auto" w:fill="FFFFFF"/>
            <w:tcMar>
              <w:left w:w="19" w:type="dxa"/>
              <w:right w:w="19" w:type="dxa"/>
            </w:tcMar>
          </w:tcPr>
          <w:p w14:paraId="3E7E9590"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Hispanic/Latino</w:t>
            </w:r>
          </w:p>
        </w:tc>
        <w:tc>
          <w:tcPr>
            <w:tcW w:w="2010" w:type="dxa"/>
            <w:shd w:val="clear" w:color="auto" w:fill="FFFFFF"/>
          </w:tcPr>
          <w:p w14:paraId="193C7B86"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21 (6.8)</w:t>
            </w:r>
          </w:p>
        </w:tc>
        <w:tc>
          <w:tcPr>
            <w:tcW w:w="2010" w:type="dxa"/>
            <w:shd w:val="clear" w:color="auto" w:fill="FFFFFF"/>
            <w:tcMar>
              <w:left w:w="19" w:type="dxa"/>
              <w:right w:w="19" w:type="dxa"/>
            </w:tcMar>
          </w:tcPr>
          <w:p w14:paraId="405B7EB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7 (5.6)</w:t>
            </w:r>
          </w:p>
        </w:tc>
        <w:tc>
          <w:tcPr>
            <w:tcW w:w="2010" w:type="dxa"/>
            <w:shd w:val="clear" w:color="auto" w:fill="FFFFFF"/>
            <w:tcMar>
              <w:left w:w="19" w:type="dxa"/>
              <w:right w:w="19" w:type="dxa"/>
            </w:tcMar>
          </w:tcPr>
          <w:p w14:paraId="11195E25"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14 (7.6)</w:t>
            </w:r>
          </w:p>
        </w:tc>
      </w:tr>
      <w:tr w:rsidR="00183E41" w:rsidRPr="00C53AA8" w14:paraId="746584EB" w14:textId="77777777" w:rsidTr="00E75BA0">
        <w:trPr>
          <w:cantSplit/>
          <w:trHeight w:val="145"/>
        </w:trPr>
        <w:tc>
          <w:tcPr>
            <w:tcW w:w="4045" w:type="dxa"/>
            <w:shd w:val="clear" w:color="auto" w:fill="FFFFFF"/>
            <w:tcMar>
              <w:left w:w="19" w:type="dxa"/>
              <w:right w:w="19" w:type="dxa"/>
            </w:tcMar>
          </w:tcPr>
          <w:p w14:paraId="702173DC"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Other </w:t>
            </w:r>
          </w:p>
        </w:tc>
        <w:tc>
          <w:tcPr>
            <w:tcW w:w="2010" w:type="dxa"/>
            <w:shd w:val="clear" w:color="auto" w:fill="FFFFFF"/>
          </w:tcPr>
          <w:p w14:paraId="4E66A69F"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17 (5.5)</w:t>
            </w:r>
          </w:p>
        </w:tc>
        <w:tc>
          <w:tcPr>
            <w:tcW w:w="2010" w:type="dxa"/>
            <w:shd w:val="clear" w:color="auto" w:fill="FFFFFF"/>
            <w:tcMar>
              <w:left w:w="19" w:type="dxa"/>
              <w:right w:w="19" w:type="dxa"/>
            </w:tcMar>
          </w:tcPr>
          <w:p w14:paraId="53130A96"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8 (6.5)</w:t>
            </w:r>
          </w:p>
        </w:tc>
        <w:tc>
          <w:tcPr>
            <w:tcW w:w="2010" w:type="dxa"/>
            <w:shd w:val="clear" w:color="auto" w:fill="FFFFFF"/>
            <w:tcMar>
              <w:left w:w="19" w:type="dxa"/>
              <w:right w:w="19" w:type="dxa"/>
            </w:tcMar>
          </w:tcPr>
          <w:p w14:paraId="1C89FAC1"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9 (4.9)</w:t>
            </w:r>
          </w:p>
        </w:tc>
      </w:tr>
      <w:tr w:rsidR="00183E41" w:rsidRPr="00C53AA8" w14:paraId="0FABB96D" w14:textId="77777777" w:rsidTr="00E75BA0">
        <w:trPr>
          <w:cantSplit/>
          <w:trHeight w:val="145"/>
        </w:trPr>
        <w:tc>
          <w:tcPr>
            <w:tcW w:w="4045" w:type="dxa"/>
            <w:shd w:val="clear" w:color="auto" w:fill="FFFFFF"/>
            <w:tcMar>
              <w:left w:w="19" w:type="dxa"/>
              <w:right w:w="19" w:type="dxa"/>
            </w:tcMar>
          </w:tcPr>
          <w:p w14:paraId="75A91E29"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sz w:val="22"/>
                <w:szCs w:val="22"/>
              </w:rPr>
              <w:t>Unknown/not reported</w:t>
            </w:r>
            <w:r w:rsidRPr="00C53AA8">
              <w:rPr>
                <w:rFonts w:ascii="Arial" w:hAnsi="Arial" w:cs="Arial"/>
                <w:color w:val="000000"/>
                <w:sz w:val="22"/>
                <w:szCs w:val="22"/>
              </w:rPr>
              <w:t xml:space="preserve"> </w:t>
            </w:r>
          </w:p>
        </w:tc>
        <w:tc>
          <w:tcPr>
            <w:tcW w:w="2010" w:type="dxa"/>
            <w:shd w:val="clear" w:color="auto" w:fill="FFFFFF"/>
          </w:tcPr>
          <w:p w14:paraId="73F6EF38"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5 (1.6)</w:t>
            </w:r>
          </w:p>
        </w:tc>
        <w:tc>
          <w:tcPr>
            <w:tcW w:w="2010" w:type="dxa"/>
            <w:shd w:val="clear" w:color="auto" w:fill="FFFFFF"/>
            <w:tcMar>
              <w:left w:w="19" w:type="dxa"/>
              <w:right w:w="19" w:type="dxa"/>
            </w:tcMar>
          </w:tcPr>
          <w:p w14:paraId="63443FF0"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 (1.6)</w:t>
            </w:r>
          </w:p>
        </w:tc>
        <w:tc>
          <w:tcPr>
            <w:tcW w:w="2010" w:type="dxa"/>
            <w:shd w:val="clear" w:color="auto" w:fill="FFFFFF"/>
            <w:tcMar>
              <w:left w:w="19" w:type="dxa"/>
              <w:right w:w="19" w:type="dxa"/>
            </w:tcMar>
          </w:tcPr>
          <w:p w14:paraId="4C55B91F"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 (1.6)</w:t>
            </w:r>
          </w:p>
        </w:tc>
      </w:tr>
      <w:tr w:rsidR="00183E41" w:rsidRPr="00C53AA8" w14:paraId="0F9D576F" w14:textId="77777777" w:rsidTr="00E75BA0">
        <w:trPr>
          <w:cantSplit/>
          <w:trHeight w:val="145"/>
        </w:trPr>
        <w:tc>
          <w:tcPr>
            <w:tcW w:w="4045" w:type="dxa"/>
            <w:shd w:val="clear" w:color="auto" w:fill="FFFFFF"/>
            <w:tcMar>
              <w:left w:w="19" w:type="dxa"/>
              <w:right w:w="19" w:type="dxa"/>
            </w:tcMar>
          </w:tcPr>
          <w:p w14:paraId="49F531EF" w14:textId="77777777" w:rsidR="00183E41" w:rsidRPr="00C53AA8" w:rsidRDefault="00183E41" w:rsidP="00E75BA0">
            <w:pPr>
              <w:adjustRightInd w:val="0"/>
              <w:spacing w:line="264" w:lineRule="auto"/>
              <w:rPr>
                <w:rFonts w:ascii="Arial" w:hAnsi="Arial" w:cs="Arial"/>
                <w:sz w:val="22"/>
                <w:szCs w:val="22"/>
              </w:rPr>
            </w:pPr>
            <w:r w:rsidRPr="00C53AA8">
              <w:rPr>
                <w:rFonts w:ascii="Arial" w:hAnsi="Arial" w:cs="Arial"/>
                <w:sz w:val="22"/>
                <w:szCs w:val="22"/>
              </w:rPr>
              <w:t>Ethnicity</w:t>
            </w:r>
            <w:r>
              <w:rPr>
                <w:rFonts w:ascii="Arial" w:hAnsi="Arial" w:cs="Arial"/>
                <w:sz w:val="22"/>
                <w:szCs w:val="22"/>
              </w:rPr>
              <w:t xml:space="preserve">, </w:t>
            </w:r>
            <w:r w:rsidRPr="00C53AA8">
              <w:rPr>
                <w:rFonts w:ascii="Arial" w:hAnsi="Arial" w:cs="Arial"/>
                <w:color w:val="000000"/>
                <w:sz w:val="22"/>
                <w:szCs w:val="22"/>
              </w:rPr>
              <w:t>n(%)</w:t>
            </w:r>
          </w:p>
        </w:tc>
        <w:tc>
          <w:tcPr>
            <w:tcW w:w="2010" w:type="dxa"/>
            <w:shd w:val="clear" w:color="auto" w:fill="FFFFFF"/>
            <w:vAlign w:val="center"/>
          </w:tcPr>
          <w:p w14:paraId="5E898586"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5CD44E81"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57D4891F"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r>
      <w:tr w:rsidR="00183E41" w:rsidRPr="00C53AA8" w14:paraId="2AB286F0" w14:textId="77777777" w:rsidTr="00E75BA0">
        <w:trPr>
          <w:cantSplit/>
          <w:trHeight w:val="145"/>
        </w:trPr>
        <w:tc>
          <w:tcPr>
            <w:tcW w:w="4045" w:type="dxa"/>
            <w:shd w:val="clear" w:color="auto" w:fill="FFFFFF"/>
            <w:tcMar>
              <w:left w:w="19" w:type="dxa"/>
              <w:right w:w="19" w:type="dxa"/>
            </w:tcMar>
          </w:tcPr>
          <w:p w14:paraId="223009C1"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Hispanic </w:t>
            </w:r>
          </w:p>
        </w:tc>
        <w:tc>
          <w:tcPr>
            <w:tcW w:w="2010" w:type="dxa"/>
            <w:shd w:val="clear" w:color="auto" w:fill="FFFFFF"/>
          </w:tcPr>
          <w:p w14:paraId="27F2EF15"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39 (12.5)</w:t>
            </w:r>
          </w:p>
        </w:tc>
        <w:tc>
          <w:tcPr>
            <w:tcW w:w="2010" w:type="dxa"/>
            <w:shd w:val="clear" w:color="auto" w:fill="FFFFFF"/>
            <w:tcMar>
              <w:left w:w="19" w:type="dxa"/>
              <w:right w:w="19" w:type="dxa"/>
            </w:tcMar>
          </w:tcPr>
          <w:p w14:paraId="2DCAB46C"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15 (12.1)</w:t>
            </w:r>
          </w:p>
        </w:tc>
        <w:tc>
          <w:tcPr>
            <w:tcW w:w="2010" w:type="dxa"/>
            <w:shd w:val="clear" w:color="auto" w:fill="FFFFFF"/>
            <w:tcMar>
              <w:left w:w="19" w:type="dxa"/>
              <w:right w:w="19" w:type="dxa"/>
            </w:tcMar>
          </w:tcPr>
          <w:p w14:paraId="54786B20"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24 (12.8)</w:t>
            </w:r>
          </w:p>
        </w:tc>
      </w:tr>
      <w:tr w:rsidR="00183E41" w:rsidRPr="00C53AA8" w14:paraId="12F89B17" w14:textId="77777777" w:rsidTr="00E75BA0">
        <w:trPr>
          <w:cantSplit/>
          <w:trHeight w:val="145"/>
        </w:trPr>
        <w:tc>
          <w:tcPr>
            <w:tcW w:w="4045" w:type="dxa"/>
            <w:shd w:val="clear" w:color="auto" w:fill="FFFFFF"/>
            <w:tcMar>
              <w:left w:w="19" w:type="dxa"/>
              <w:right w:w="19" w:type="dxa"/>
            </w:tcMar>
          </w:tcPr>
          <w:p w14:paraId="1DEF76A3"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Non-Hispanic </w:t>
            </w:r>
          </w:p>
        </w:tc>
        <w:tc>
          <w:tcPr>
            <w:tcW w:w="2010" w:type="dxa"/>
            <w:shd w:val="clear" w:color="auto" w:fill="FFFFFF"/>
          </w:tcPr>
          <w:p w14:paraId="06A70FB4"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266 (85.5)</w:t>
            </w:r>
          </w:p>
        </w:tc>
        <w:tc>
          <w:tcPr>
            <w:tcW w:w="2010" w:type="dxa"/>
            <w:shd w:val="clear" w:color="auto" w:fill="FFFFFF"/>
            <w:tcMar>
              <w:left w:w="19" w:type="dxa"/>
              <w:right w:w="19" w:type="dxa"/>
            </w:tcMar>
          </w:tcPr>
          <w:p w14:paraId="5212209D"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107 (86.3)</w:t>
            </w:r>
          </w:p>
        </w:tc>
        <w:tc>
          <w:tcPr>
            <w:tcW w:w="2010" w:type="dxa"/>
            <w:shd w:val="clear" w:color="auto" w:fill="FFFFFF"/>
            <w:tcMar>
              <w:left w:w="19" w:type="dxa"/>
              <w:right w:w="19" w:type="dxa"/>
            </w:tcMar>
          </w:tcPr>
          <w:p w14:paraId="1C7A1808"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159 (85.0)</w:t>
            </w:r>
          </w:p>
        </w:tc>
      </w:tr>
      <w:tr w:rsidR="00183E41" w:rsidRPr="00C53AA8" w14:paraId="18DF0DDA" w14:textId="77777777" w:rsidTr="00E75BA0">
        <w:trPr>
          <w:cantSplit/>
          <w:trHeight w:val="145"/>
        </w:trPr>
        <w:tc>
          <w:tcPr>
            <w:tcW w:w="4045" w:type="dxa"/>
            <w:shd w:val="clear" w:color="auto" w:fill="FFFFFF"/>
            <w:tcMar>
              <w:left w:w="19" w:type="dxa"/>
              <w:right w:w="19" w:type="dxa"/>
            </w:tcMar>
          </w:tcPr>
          <w:p w14:paraId="66626CF6"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sz w:val="22"/>
                <w:szCs w:val="22"/>
              </w:rPr>
              <w:t>Unknown/not reported</w:t>
            </w:r>
            <w:r w:rsidRPr="00C53AA8">
              <w:rPr>
                <w:rFonts w:ascii="Arial" w:hAnsi="Arial" w:cs="Arial"/>
                <w:color w:val="000000"/>
                <w:sz w:val="22"/>
                <w:szCs w:val="22"/>
              </w:rPr>
              <w:t xml:space="preserve"> </w:t>
            </w:r>
          </w:p>
        </w:tc>
        <w:tc>
          <w:tcPr>
            <w:tcW w:w="2010" w:type="dxa"/>
            <w:shd w:val="clear" w:color="auto" w:fill="FFFFFF"/>
          </w:tcPr>
          <w:p w14:paraId="68FB0EA1"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6 (1.9)</w:t>
            </w:r>
          </w:p>
        </w:tc>
        <w:tc>
          <w:tcPr>
            <w:tcW w:w="2010" w:type="dxa"/>
            <w:shd w:val="clear" w:color="auto" w:fill="FFFFFF"/>
            <w:tcMar>
              <w:left w:w="19" w:type="dxa"/>
              <w:right w:w="19" w:type="dxa"/>
            </w:tcMar>
          </w:tcPr>
          <w:p w14:paraId="026D1A9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 (1.6)</w:t>
            </w:r>
          </w:p>
        </w:tc>
        <w:tc>
          <w:tcPr>
            <w:tcW w:w="2010" w:type="dxa"/>
            <w:shd w:val="clear" w:color="auto" w:fill="FFFFFF"/>
            <w:tcMar>
              <w:left w:w="19" w:type="dxa"/>
              <w:right w:w="19" w:type="dxa"/>
            </w:tcMar>
          </w:tcPr>
          <w:p w14:paraId="2EA2067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4 (2.1)</w:t>
            </w:r>
          </w:p>
        </w:tc>
      </w:tr>
      <w:tr w:rsidR="00183E41" w:rsidRPr="00C53AA8" w14:paraId="7132410A" w14:textId="77777777" w:rsidTr="00E75BA0">
        <w:trPr>
          <w:cantSplit/>
          <w:trHeight w:val="145"/>
        </w:trPr>
        <w:tc>
          <w:tcPr>
            <w:tcW w:w="4045" w:type="dxa"/>
            <w:shd w:val="clear" w:color="auto" w:fill="FFFFFF"/>
            <w:tcMar>
              <w:left w:w="19" w:type="dxa"/>
              <w:right w:w="19" w:type="dxa"/>
            </w:tcMar>
          </w:tcPr>
          <w:p w14:paraId="40233006" w14:textId="77777777" w:rsidR="00183E41" w:rsidRPr="00C53AA8" w:rsidRDefault="00183E41" w:rsidP="00E75BA0">
            <w:pPr>
              <w:adjustRightInd w:val="0"/>
              <w:spacing w:line="264" w:lineRule="auto"/>
              <w:rPr>
                <w:rFonts w:ascii="Arial" w:hAnsi="Arial" w:cs="Arial"/>
                <w:color w:val="000000"/>
                <w:sz w:val="22"/>
                <w:szCs w:val="22"/>
              </w:rPr>
            </w:pPr>
            <w:r w:rsidRPr="00C53AA8">
              <w:rPr>
                <w:rFonts w:ascii="Arial" w:hAnsi="Arial" w:cs="Arial"/>
                <w:color w:val="000000"/>
                <w:sz w:val="22"/>
                <w:szCs w:val="22"/>
              </w:rPr>
              <w:t>Comorbidities</w:t>
            </w:r>
            <w:r>
              <w:rPr>
                <w:rFonts w:ascii="Arial" w:hAnsi="Arial" w:cs="Arial"/>
                <w:color w:val="000000"/>
                <w:sz w:val="22"/>
                <w:szCs w:val="22"/>
              </w:rPr>
              <w:t xml:space="preserve">, </w:t>
            </w:r>
            <w:r w:rsidRPr="00C53AA8">
              <w:rPr>
                <w:rFonts w:ascii="Arial" w:hAnsi="Arial" w:cs="Arial"/>
                <w:color w:val="000000"/>
                <w:sz w:val="22"/>
                <w:szCs w:val="22"/>
              </w:rPr>
              <w:t>n(%)</w:t>
            </w:r>
          </w:p>
        </w:tc>
        <w:tc>
          <w:tcPr>
            <w:tcW w:w="2010" w:type="dxa"/>
            <w:shd w:val="clear" w:color="auto" w:fill="FFFFFF"/>
            <w:vAlign w:val="center"/>
          </w:tcPr>
          <w:p w14:paraId="20F62921"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1E948D63"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c>
          <w:tcPr>
            <w:tcW w:w="2010" w:type="dxa"/>
            <w:shd w:val="clear" w:color="auto" w:fill="FFFFFF"/>
            <w:tcMar>
              <w:left w:w="19" w:type="dxa"/>
              <w:right w:w="19" w:type="dxa"/>
            </w:tcMar>
            <w:vAlign w:val="center"/>
          </w:tcPr>
          <w:p w14:paraId="4400E3DC" w14:textId="77777777" w:rsidR="00183E41" w:rsidRPr="00C53AA8" w:rsidRDefault="00183E41" w:rsidP="00E75BA0">
            <w:pPr>
              <w:adjustRightInd w:val="0"/>
              <w:spacing w:line="264" w:lineRule="auto"/>
              <w:jc w:val="center"/>
              <w:rPr>
                <w:rFonts w:ascii="Arial" w:hAnsi="Arial" w:cs="Arial"/>
                <w:color w:val="000000"/>
                <w:sz w:val="22"/>
                <w:szCs w:val="22"/>
              </w:rPr>
            </w:pPr>
            <w:r>
              <w:rPr>
                <w:rFonts w:ascii="Arial" w:hAnsi="Arial" w:cs="Arial"/>
                <w:color w:val="000000"/>
                <w:sz w:val="22"/>
                <w:szCs w:val="22"/>
              </w:rPr>
              <w:t>*</w:t>
            </w:r>
          </w:p>
        </w:tc>
      </w:tr>
      <w:tr w:rsidR="00183E41" w:rsidRPr="00C53AA8" w14:paraId="7009EA5E" w14:textId="77777777" w:rsidTr="00E75BA0">
        <w:trPr>
          <w:cantSplit/>
          <w:trHeight w:val="303"/>
        </w:trPr>
        <w:tc>
          <w:tcPr>
            <w:tcW w:w="4045" w:type="dxa"/>
            <w:shd w:val="clear" w:color="auto" w:fill="FFFFFF"/>
            <w:tcMar>
              <w:left w:w="19" w:type="dxa"/>
              <w:right w:w="19" w:type="dxa"/>
            </w:tcMar>
          </w:tcPr>
          <w:p w14:paraId="2FF61FD5"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COPD </w:t>
            </w:r>
          </w:p>
        </w:tc>
        <w:tc>
          <w:tcPr>
            <w:tcW w:w="2010" w:type="dxa"/>
            <w:shd w:val="clear" w:color="auto" w:fill="FFFFFF"/>
          </w:tcPr>
          <w:p w14:paraId="10300A52"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74 (23.6)</w:t>
            </w:r>
          </w:p>
        </w:tc>
        <w:tc>
          <w:tcPr>
            <w:tcW w:w="2010" w:type="dxa"/>
            <w:shd w:val="clear" w:color="auto" w:fill="FFFFFF"/>
            <w:tcMar>
              <w:left w:w="19" w:type="dxa"/>
              <w:right w:w="19" w:type="dxa"/>
            </w:tcMar>
          </w:tcPr>
          <w:p w14:paraId="1E089A66"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27 (21.6)</w:t>
            </w:r>
          </w:p>
        </w:tc>
        <w:tc>
          <w:tcPr>
            <w:tcW w:w="2010" w:type="dxa"/>
            <w:shd w:val="clear" w:color="auto" w:fill="FFFFFF"/>
            <w:tcMar>
              <w:left w:w="19" w:type="dxa"/>
              <w:right w:w="19" w:type="dxa"/>
            </w:tcMar>
          </w:tcPr>
          <w:p w14:paraId="4B17EDC8"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47 (25.0)</w:t>
            </w:r>
          </w:p>
        </w:tc>
      </w:tr>
      <w:tr w:rsidR="00183E41" w:rsidRPr="00C53AA8" w14:paraId="741CA22F" w14:textId="77777777" w:rsidTr="00E75BA0">
        <w:trPr>
          <w:cantSplit/>
          <w:trHeight w:val="303"/>
        </w:trPr>
        <w:tc>
          <w:tcPr>
            <w:tcW w:w="4045" w:type="dxa"/>
            <w:shd w:val="clear" w:color="auto" w:fill="FFFFFF"/>
            <w:tcMar>
              <w:left w:w="19" w:type="dxa"/>
              <w:right w:w="19" w:type="dxa"/>
            </w:tcMar>
          </w:tcPr>
          <w:p w14:paraId="47711AC0" w14:textId="77777777" w:rsidR="00183E41" w:rsidRPr="00C53AA8" w:rsidRDefault="00183E41" w:rsidP="00E75BA0">
            <w:pPr>
              <w:adjustRightInd w:val="0"/>
              <w:spacing w:line="264" w:lineRule="auto"/>
              <w:ind w:left="288"/>
              <w:rPr>
                <w:rFonts w:ascii="Arial" w:hAnsi="Arial" w:cs="Arial"/>
                <w:color w:val="000000"/>
                <w:sz w:val="22"/>
                <w:szCs w:val="22"/>
              </w:rPr>
            </w:pPr>
            <w:r>
              <w:rPr>
                <w:rFonts w:ascii="Arial" w:hAnsi="Arial" w:cs="Arial"/>
                <w:color w:val="000000"/>
                <w:sz w:val="22"/>
                <w:szCs w:val="22"/>
              </w:rPr>
              <w:t>Chronic kidney disease</w:t>
            </w:r>
          </w:p>
        </w:tc>
        <w:tc>
          <w:tcPr>
            <w:tcW w:w="2010" w:type="dxa"/>
            <w:shd w:val="clear" w:color="auto" w:fill="FFFFFF"/>
          </w:tcPr>
          <w:p w14:paraId="591C024D"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 (0.6)</w:t>
            </w:r>
          </w:p>
        </w:tc>
        <w:tc>
          <w:tcPr>
            <w:tcW w:w="2010" w:type="dxa"/>
            <w:shd w:val="clear" w:color="auto" w:fill="FFFFFF"/>
            <w:tcMar>
              <w:left w:w="19" w:type="dxa"/>
              <w:right w:w="19" w:type="dxa"/>
            </w:tcMar>
          </w:tcPr>
          <w:p w14:paraId="229139E9"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 (0.8)</w:t>
            </w:r>
          </w:p>
        </w:tc>
        <w:tc>
          <w:tcPr>
            <w:tcW w:w="2010" w:type="dxa"/>
            <w:shd w:val="clear" w:color="auto" w:fill="FFFFFF"/>
            <w:tcMar>
              <w:left w:w="19" w:type="dxa"/>
              <w:right w:w="19" w:type="dxa"/>
            </w:tcMar>
          </w:tcPr>
          <w:p w14:paraId="386775BD"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 (0.5)</w:t>
            </w:r>
          </w:p>
        </w:tc>
      </w:tr>
      <w:tr w:rsidR="00183E41" w:rsidRPr="00C53AA8" w14:paraId="274D6DD6" w14:textId="77777777" w:rsidTr="00E75BA0">
        <w:trPr>
          <w:cantSplit/>
          <w:trHeight w:val="303"/>
        </w:trPr>
        <w:tc>
          <w:tcPr>
            <w:tcW w:w="4045" w:type="dxa"/>
            <w:shd w:val="clear" w:color="auto" w:fill="FFFFFF"/>
            <w:tcMar>
              <w:left w:w="19" w:type="dxa"/>
              <w:right w:w="19" w:type="dxa"/>
            </w:tcMar>
          </w:tcPr>
          <w:p w14:paraId="0986CCB4"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Lung </w:t>
            </w:r>
            <w:r>
              <w:rPr>
                <w:rFonts w:ascii="Arial" w:hAnsi="Arial" w:cs="Arial"/>
                <w:color w:val="000000"/>
                <w:sz w:val="22"/>
                <w:szCs w:val="22"/>
              </w:rPr>
              <w:t>c</w:t>
            </w:r>
            <w:r w:rsidRPr="00C53AA8">
              <w:rPr>
                <w:rFonts w:ascii="Arial" w:hAnsi="Arial" w:cs="Arial"/>
                <w:color w:val="000000"/>
                <w:sz w:val="22"/>
                <w:szCs w:val="22"/>
              </w:rPr>
              <w:t xml:space="preserve">ancer </w:t>
            </w:r>
          </w:p>
        </w:tc>
        <w:tc>
          <w:tcPr>
            <w:tcW w:w="2010" w:type="dxa"/>
            <w:shd w:val="clear" w:color="auto" w:fill="FFFFFF"/>
          </w:tcPr>
          <w:p w14:paraId="1367D0F6"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30 (9.6)</w:t>
            </w:r>
          </w:p>
        </w:tc>
        <w:tc>
          <w:tcPr>
            <w:tcW w:w="2010" w:type="dxa"/>
            <w:shd w:val="clear" w:color="auto" w:fill="FFFFFF"/>
            <w:tcMar>
              <w:left w:w="19" w:type="dxa"/>
              <w:right w:w="19" w:type="dxa"/>
            </w:tcMar>
          </w:tcPr>
          <w:p w14:paraId="10C8305B"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11 (8.8)</w:t>
            </w:r>
          </w:p>
        </w:tc>
        <w:tc>
          <w:tcPr>
            <w:tcW w:w="2010" w:type="dxa"/>
            <w:shd w:val="clear" w:color="auto" w:fill="FFFFFF"/>
            <w:tcMar>
              <w:left w:w="19" w:type="dxa"/>
              <w:right w:w="19" w:type="dxa"/>
            </w:tcMar>
          </w:tcPr>
          <w:p w14:paraId="6AF3D55E"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19 (10.1)</w:t>
            </w:r>
          </w:p>
        </w:tc>
      </w:tr>
      <w:tr w:rsidR="00183E41" w:rsidRPr="00C53AA8" w14:paraId="322D3A14" w14:textId="77777777" w:rsidTr="00E75BA0">
        <w:trPr>
          <w:cantSplit/>
          <w:trHeight w:val="303"/>
        </w:trPr>
        <w:tc>
          <w:tcPr>
            <w:tcW w:w="4045" w:type="dxa"/>
            <w:shd w:val="clear" w:color="auto" w:fill="FFFFFF"/>
            <w:tcMar>
              <w:left w:w="19" w:type="dxa"/>
              <w:right w:w="19" w:type="dxa"/>
            </w:tcMar>
          </w:tcPr>
          <w:p w14:paraId="607B79CA" w14:textId="77777777" w:rsidR="00183E41" w:rsidRPr="00C53AA8" w:rsidRDefault="00183E41" w:rsidP="00E75BA0">
            <w:pPr>
              <w:adjustRightInd w:val="0"/>
              <w:spacing w:line="264" w:lineRule="auto"/>
              <w:ind w:left="288"/>
              <w:rPr>
                <w:rFonts w:ascii="Arial" w:hAnsi="Arial" w:cs="Arial"/>
                <w:color w:val="000000"/>
                <w:sz w:val="22"/>
                <w:szCs w:val="22"/>
              </w:rPr>
            </w:pPr>
            <w:r w:rsidRPr="00C53AA8">
              <w:rPr>
                <w:rFonts w:ascii="Arial" w:hAnsi="Arial" w:cs="Arial"/>
                <w:color w:val="000000"/>
                <w:sz w:val="22"/>
                <w:szCs w:val="22"/>
              </w:rPr>
              <w:t xml:space="preserve">Emphysema </w:t>
            </w:r>
          </w:p>
        </w:tc>
        <w:tc>
          <w:tcPr>
            <w:tcW w:w="2010" w:type="dxa"/>
            <w:shd w:val="clear" w:color="auto" w:fill="FFFFFF"/>
          </w:tcPr>
          <w:p w14:paraId="7BFC2C6C"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30 (9.6)</w:t>
            </w:r>
          </w:p>
        </w:tc>
        <w:tc>
          <w:tcPr>
            <w:tcW w:w="2010" w:type="dxa"/>
            <w:shd w:val="clear" w:color="auto" w:fill="FFFFFF"/>
            <w:tcMar>
              <w:left w:w="19" w:type="dxa"/>
              <w:right w:w="19" w:type="dxa"/>
            </w:tcMar>
          </w:tcPr>
          <w:p w14:paraId="1441169C"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10 (8.0)</w:t>
            </w:r>
          </w:p>
        </w:tc>
        <w:tc>
          <w:tcPr>
            <w:tcW w:w="2010" w:type="dxa"/>
            <w:shd w:val="clear" w:color="auto" w:fill="FFFFFF"/>
            <w:tcMar>
              <w:left w:w="19" w:type="dxa"/>
              <w:right w:w="19" w:type="dxa"/>
            </w:tcMar>
          </w:tcPr>
          <w:p w14:paraId="200D1D64"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20 (10.6)</w:t>
            </w:r>
          </w:p>
        </w:tc>
      </w:tr>
      <w:tr w:rsidR="00183E41" w:rsidRPr="00C53AA8" w14:paraId="3FBF4520" w14:textId="77777777" w:rsidTr="00E75BA0">
        <w:trPr>
          <w:cantSplit/>
          <w:trHeight w:val="303"/>
        </w:trPr>
        <w:tc>
          <w:tcPr>
            <w:tcW w:w="4045" w:type="dxa"/>
            <w:shd w:val="clear" w:color="auto" w:fill="FFFFFF"/>
            <w:tcMar>
              <w:left w:w="19" w:type="dxa"/>
              <w:right w:w="19" w:type="dxa"/>
            </w:tcMar>
          </w:tcPr>
          <w:p w14:paraId="0C19E650" w14:textId="77777777" w:rsidR="00183E41" w:rsidRPr="00C53AA8" w:rsidRDefault="00183E41" w:rsidP="00E75BA0">
            <w:pPr>
              <w:adjustRightInd w:val="0"/>
              <w:spacing w:line="264" w:lineRule="auto"/>
              <w:ind w:left="288"/>
              <w:rPr>
                <w:rFonts w:ascii="Arial" w:hAnsi="Arial" w:cs="Arial"/>
                <w:sz w:val="22"/>
                <w:szCs w:val="22"/>
                <w:vertAlign w:val="superscript"/>
              </w:rPr>
            </w:pPr>
            <w:r w:rsidRPr="00C53AA8">
              <w:rPr>
                <w:rFonts w:ascii="Arial" w:hAnsi="Arial" w:cs="Arial"/>
                <w:sz w:val="22"/>
                <w:szCs w:val="22"/>
              </w:rPr>
              <w:t xml:space="preserve">Acquired or congenital immunodeficiency </w:t>
            </w:r>
          </w:p>
        </w:tc>
        <w:tc>
          <w:tcPr>
            <w:tcW w:w="2010" w:type="dxa"/>
            <w:shd w:val="clear" w:color="auto" w:fill="FFFFFF"/>
          </w:tcPr>
          <w:p w14:paraId="58A544C2"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15 (4.8)</w:t>
            </w:r>
          </w:p>
        </w:tc>
        <w:tc>
          <w:tcPr>
            <w:tcW w:w="2010" w:type="dxa"/>
            <w:shd w:val="clear" w:color="auto" w:fill="FFFFFF"/>
            <w:tcMar>
              <w:left w:w="19" w:type="dxa"/>
              <w:right w:w="19" w:type="dxa"/>
            </w:tcMar>
          </w:tcPr>
          <w:p w14:paraId="574B9B12"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5 (4.0)</w:t>
            </w:r>
          </w:p>
        </w:tc>
        <w:tc>
          <w:tcPr>
            <w:tcW w:w="2010" w:type="dxa"/>
            <w:shd w:val="clear" w:color="auto" w:fill="FFFFFF"/>
            <w:tcMar>
              <w:left w:w="19" w:type="dxa"/>
              <w:right w:w="19" w:type="dxa"/>
            </w:tcMar>
          </w:tcPr>
          <w:p w14:paraId="0A88DE27" w14:textId="77777777" w:rsidR="00183E41" w:rsidRPr="00C53AA8" w:rsidRDefault="00183E41" w:rsidP="00E75BA0">
            <w:pPr>
              <w:adjustRightInd w:val="0"/>
              <w:spacing w:line="264" w:lineRule="auto"/>
              <w:jc w:val="center"/>
              <w:rPr>
                <w:rFonts w:ascii="Arial" w:hAnsi="Arial" w:cs="Arial"/>
                <w:color w:val="000000"/>
                <w:sz w:val="22"/>
                <w:szCs w:val="22"/>
              </w:rPr>
            </w:pPr>
            <w:r w:rsidRPr="00C53AA8">
              <w:rPr>
                <w:rFonts w:ascii="Arial" w:hAnsi="Arial" w:cs="Arial"/>
                <w:sz w:val="22"/>
                <w:szCs w:val="22"/>
              </w:rPr>
              <w:t>10 (5.3)</w:t>
            </w:r>
          </w:p>
        </w:tc>
      </w:tr>
      <w:tr w:rsidR="00183E41" w:rsidRPr="00C53AA8" w14:paraId="74D40A81" w14:textId="77777777" w:rsidTr="00E75BA0">
        <w:trPr>
          <w:cantSplit/>
          <w:trHeight w:val="303"/>
        </w:trPr>
        <w:tc>
          <w:tcPr>
            <w:tcW w:w="4045" w:type="dxa"/>
            <w:shd w:val="clear" w:color="auto" w:fill="FFFFFF"/>
            <w:tcMar>
              <w:left w:w="19" w:type="dxa"/>
              <w:right w:w="19" w:type="dxa"/>
            </w:tcMar>
          </w:tcPr>
          <w:p w14:paraId="27CBB6FE" w14:textId="77777777" w:rsidR="00183E41" w:rsidRPr="00C53AA8" w:rsidRDefault="00183E41" w:rsidP="00E75BA0">
            <w:pPr>
              <w:keepNext/>
              <w:adjustRightInd w:val="0"/>
              <w:spacing w:line="264" w:lineRule="auto"/>
              <w:rPr>
                <w:rFonts w:ascii="Arial" w:hAnsi="Arial" w:cs="Arial"/>
                <w:sz w:val="22"/>
                <w:szCs w:val="22"/>
              </w:rPr>
            </w:pPr>
            <w:r w:rsidRPr="00C53AA8">
              <w:rPr>
                <w:rFonts w:ascii="Arial" w:hAnsi="Arial" w:cs="Arial"/>
                <w:sz w:val="22"/>
                <w:szCs w:val="22"/>
              </w:rPr>
              <w:t>Length of Stay Median (IQR)</w:t>
            </w:r>
          </w:p>
        </w:tc>
        <w:tc>
          <w:tcPr>
            <w:tcW w:w="2010" w:type="dxa"/>
            <w:shd w:val="clear" w:color="auto" w:fill="FFFFFF"/>
          </w:tcPr>
          <w:p w14:paraId="4D37E3FF" w14:textId="77777777" w:rsidR="00183E41" w:rsidRPr="00C53AA8" w:rsidRDefault="00183E41" w:rsidP="00E75BA0">
            <w:pPr>
              <w:keepNext/>
              <w:adjustRightInd w:val="0"/>
              <w:spacing w:line="264" w:lineRule="auto"/>
              <w:jc w:val="center"/>
              <w:rPr>
                <w:rFonts w:ascii="Arial" w:hAnsi="Arial" w:cs="Arial"/>
                <w:sz w:val="22"/>
                <w:szCs w:val="22"/>
              </w:rPr>
            </w:pPr>
            <w:r w:rsidRPr="00C53AA8">
              <w:rPr>
                <w:rFonts w:ascii="Arial" w:hAnsi="Arial" w:cs="Arial"/>
                <w:sz w:val="22"/>
                <w:szCs w:val="22"/>
              </w:rPr>
              <w:t>3.6 (2</w:t>
            </w:r>
            <w:r>
              <w:rPr>
                <w:rFonts w:ascii="Arial" w:hAnsi="Arial" w:cs="Arial"/>
                <w:sz w:val="22"/>
                <w:szCs w:val="22"/>
              </w:rPr>
              <w:t>-6</w:t>
            </w:r>
            <w:r w:rsidRPr="00C53AA8">
              <w:rPr>
                <w:rFonts w:ascii="Arial" w:hAnsi="Arial" w:cs="Arial"/>
                <w:sz w:val="22"/>
                <w:szCs w:val="22"/>
              </w:rPr>
              <w:t>)</w:t>
            </w:r>
          </w:p>
        </w:tc>
        <w:tc>
          <w:tcPr>
            <w:tcW w:w="2010" w:type="dxa"/>
            <w:shd w:val="clear" w:color="auto" w:fill="FFFFFF"/>
            <w:tcMar>
              <w:left w:w="19" w:type="dxa"/>
              <w:right w:w="19" w:type="dxa"/>
            </w:tcMar>
          </w:tcPr>
          <w:p w14:paraId="7432908A" w14:textId="77777777" w:rsidR="00183E41" w:rsidRPr="00C53AA8" w:rsidRDefault="00183E41" w:rsidP="00E75BA0">
            <w:pPr>
              <w:keepNext/>
              <w:adjustRightInd w:val="0"/>
              <w:spacing w:line="264" w:lineRule="auto"/>
              <w:jc w:val="center"/>
              <w:rPr>
                <w:rFonts w:ascii="Arial" w:hAnsi="Arial" w:cs="Arial"/>
                <w:sz w:val="22"/>
                <w:szCs w:val="22"/>
              </w:rPr>
            </w:pPr>
            <w:r w:rsidRPr="00C53AA8">
              <w:rPr>
                <w:rFonts w:ascii="Arial" w:hAnsi="Arial" w:cs="Arial"/>
                <w:sz w:val="22"/>
                <w:szCs w:val="22"/>
              </w:rPr>
              <w:t>3</w:t>
            </w:r>
            <w:r>
              <w:rPr>
                <w:rFonts w:ascii="Arial" w:hAnsi="Arial" w:cs="Arial"/>
                <w:sz w:val="22"/>
                <w:szCs w:val="22"/>
              </w:rPr>
              <w:t xml:space="preserve"> </w:t>
            </w:r>
            <w:r w:rsidRPr="00C53AA8">
              <w:rPr>
                <w:rFonts w:ascii="Arial" w:hAnsi="Arial" w:cs="Arial"/>
                <w:sz w:val="22"/>
                <w:szCs w:val="22"/>
              </w:rPr>
              <w:t>(2</w:t>
            </w:r>
            <w:r>
              <w:rPr>
                <w:rFonts w:ascii="Arial" w:hAnsi="Arial" w:cs="Arial"/>
                <w:sz w:val="22"/>
                <w:szCs w:val="22"/>
              </w:rPr>
              <w:t>-</w:t>
            </w:r>
            <w:r w:rsidRPr="00C53AA8">
              <w:rPr>
                <w:rFonts w:ascii="Arial" w:hAnsi="Arial" w:cs="Arial"/>
                <w:sz w:val="22"/>
                <w:szCs w:val="22"/>
              </w:rPr>
              <w:t>4)</w:t>
            </w:r>
          </w:p>
        </w:tc>
        <w:tc>
          <w:tcPr>
            <w:tcW w:w="2010" w:type="dxa"/>
            <w:shd w:val="clear" w:color="auto" w:fill="FFFFFF"/>
            <w:tcMar>
              <w:left w:w="19" w:type="dxa"/>
              <w:right w:w="19" w:type="dxa"/>
            </w:tcMar>
          </w:tcPr>
          <w:p w14:paraId="52DFF558" w14:textId="77777777" w:rsidR="00183E41" w:rsidRPr="00C53AA8" w:rsidRDefault="00183E41" w:rsidP="00E75BA0">
            <w:pPr>
              <w:keepNext/>
              <w:adjustRightInd w:val="0"/>
              <w:spacing w:line="264" w:lineRule="auto"/>
              <w:jc w:val="center"/>
              <w:rPr>
                <w:rFonts w:ascii="Arial" w:hAnsi="Arial" w:cs="Arial"/>
                <w:sz w:val="22"/>
                <w:szCs w:val="22"/>
              </w:rPr>
            </w:pPr>
            <w:r w:rsidRPr="00C53AA8">
              <w:rPr>
                <w:rFonts w:ascii="Arial" w:hAnsi="Arial" w:cs="Arial"/>
                <w:sz w:val="22"/>
                <w:szCs w:val="22"/>
              </w:rPr>
              <w:t>4 (</w:t>
            </w:r>
            <w:r>
              <w:rPr>
                <w:rFonts w:ascii="Arial" w:hAnsi="Arial" w:cs="Arial"/>
                <w:sz w:val="22"/>
                <w:szCs w:val="22"/>
              </w:rPr>
              <w:t>3-6</w:t>
            </w:r>
            <w:r w:rsidRPr="00C53AA8">
              <w:rPr>
                <w:rFonts w:ascii="Arial" w:hAnsi="Arial" w:cs="Arial"/>
                <w:sz w:val="22"/>
                <w:szCs w:val="22"/>
              </w:rPr>
              <w:t>)</w:t>
            </w:r>
          </w:p>
        </w:tc>
      </w:tr>
    </w:tbl>
    <w:p w14:paraId="05A3F964" w14:textId="77777777" w:rsidR="00183E41" w:rsidRDefault="00183E41" w:rsidP="00183E41">
      <w:pPr>
        <w:spacing w:line="264" w:lineRule="auto"/>
        <w:rPr>
          <w:rFonts w:ascii="Arial" w:hAnsi="Arial" w:cs="Arial"/>
          <w:sz w:val="18"/>
          <w:szCs w:val="18"/>
        </w:rPr>
      </w:pPr>
      <w:bookmarkStart w:id="27" w:name="_Hlk181122436"/>
      <w:bookmarkEnd w:id="26"/>
      <w:r>
        <w:rPr>
          <w:rFonts w:ascii="Arial" w:hAnsi="Arial" w:cs="Arial"/>
          <w:sz w:val="18"/>
          <w:szCs w:val="18"/>
        </w:rPr>
        <w:t>Abbreviations: IQR, interquartile range; COPD, chronic obstructive lung disease</w:t>
      </w:r>
    </w:p>
    <w:p w14:paraId="7EA334FC" w14:textId="77777777" w:rsidR="00183E41" w:rsidRDefault="00183E41" w:rsidP="00183E41">
      <w:pPr>
        <w:spacing w:line="264" w:lineRule="auto"/>
        <w:rPr>
          <w:rFonts w:ascii="Arial" w:hAnsi="Arial" w:cs="Arial"/>
          <w:sz w:val="18"/>
          <w:szCs w:val="18"/>
        </w:rPr>
      </w:pPr>
      <w:r w:rsidRPr="00A07423">
        <w:rPr>
          <w:rFonts w:ascii="Arial" w:hAnsi="Arial" w:cs="Arial"/>
          <w:sz w:val="18"/>
          <w:szCs w:val="18"/>
          <w:vertAlign w:val="superscript"/>
        </w:rPr>
        <w:t>1</w:t>
      </w:r>
      <w:r>
        <w:rPr>
          <w:rFonts w:ascii="Arial" w:hAnsi="Arial" w:cs="Arial"/>
          <w:sz w:val="18"/>
          <w:szCs w:val="18"/>
        </w:rPr>
        <w:t>defined as having chemotherapy, immunosuppressants, or chronic steroids</w:t>
      </w:r>
    </w:p>
    <w:p w14:paraId="5634A893" w14:textId="77777777" w:rsidR="00183E41" w:rsidRPr="00A07423" w:rsidRDefault="00183E41" w:rsidP="00183E41">
      <w:pPr>
        <w:spacing w:line="264" w:lineRule="auto"/>
        <w:rPr>
          <w:rFonts w:ascii="Arial" w:hAnsi="Arial" w:cs="Arial"/>
          <w:sz w:val="18"/>
          <w:szCs w:val="18"/>
        </w:rPr>
      </w:pPr>
      <w:r>
        <w:rPr>
          <w:rFonts w:ascii="Arial" w:hAnsi="Arial" w:cs="Arial"/>
          <w:sz w:val="18"/>
          <w:szCs w:val="18"/>
        </w:rPr>
        <w:t>*</w:t>
      </w:r>
      <w:proofErr w:type="gramStart"/>
      <w:r>
        <w:rPr>
          <w:rFonts w:ascii="Arial" w:hAnsi="Arial" w:cs="Arial"/>
          <w:sz w:val="18"/>
          <w:szCs w:val="18"/>
        </w:rPr>
        <w:t>cells</w:t>
      </w:r>
      <w:proofErr w:type="gramEnd"/>
      <w:r>
        <w:rPr>
          <w:rFonts w:ascii="Arial" w:hAnsi="Arial" w:cs="Arial"/>
          <w:sz w:val="18"/>
          <w:szCs w:val="18"/>
        </w:rPr>
        <w:t xml:space="preserve"> intentionally left empty</w:t>
      </w:r>
      <w:bookmarkEnd w:id="27"/>
    </w:p>
    <w:p w14:paraId="3D33E126" w14:textId="77777777" w:rsidR="00183E41" w:rsidRDefault="00183E41" w:rsidP="00183E41">
      <w:pPr>
        <w:rPr>
          <w:rFonts w:ascii="Arial" w:hAnsi="Arial" w:cs="Arial"/>
        </w:rPr>
      </w:pPr>
    </w:p>
    <w:p w14:paraId="52FD5B27" w14:textId="77777777" w:rsidR="006106EC" w:rsidRPr="006106EC" w:rsidRDefault="006B5AEF" w:rsidP="006106EC">
      <w:pPr>
        <w:rPr>
          <w:rFonts w:cs="Arial"/>
          <w:b/>
          <w:bCs/>
          <w:sz w:val="22"/>
          <w:szCs w:val="22"/>
        </w:rPr>
      </w:pPr>
      <w:r>
        <w:rPr>
          <w:rFonts w:ascii="Arial" w:hAnsi="Arial" w:cs="Arial"/>
          <w:sz w:val="22"/>
          <w:szCs w:val="22"/>
        </w:rPr>
        <w:br w:type="page"/>
      </w:r>
      <w:r w:rsidR="006106EC" w:rsidRPr="006106EC">
        <w:rPr>
          <w:rFonts w:cs="Arial"/>
          <w:b/>
          <w:bCs/>
          <w:sz w:val="22"/>
          <w:szCs w:val="22"/>
        </w:rPr>
        <w:lastRenderedPageBreak/>
        <w:t>References</w:t>
      </w:r>
    </w:p>
    <w:p w14:paraId="5C9ED2B0" w14:textId="77777777" w:rsidR="006106EC" w:rsidRPr="006106EC" w:rsidRDefault="006106EC" w:rsidP="006106EC">
      <w:pPr>
        <w:rPr>
          <w:rFonts w:cs="Arial"/>
          <w:sz w:val="22"/>
          <w:szCs w:val="22"/>
        </w:rPr>
      </w:pPr>
    </w:p>
    <w:p w14:paraId="54059CE0" w14:textId="77777777" w:rsidR="006106EC" w:rsidRPr="006106EC" w:rsidRDefault="006106EC" w:rsidP="006106EC">
      <w:pPr>
        <w:rPr>
          <w:rFonts w:cs="Arial"/>
          <w:sz w:val="22"/>
          <w:szCs w:val="22"/>
        </w:rPr>
      </w:pPr>
      <w:r w:rsidRPr="006106EC">
        <w:rPr>
          <w:rFonts w:cs="Arial"/>
          <w:sz w:val="22"/>
          <w:szCs w:val="22"/>
        </w:rPr>
        <w:t>1.</w:t>
      </w:r>
      <w:r w:rsidRPr="006106EC">
        <w:rPr>
          <w:rFonts w:cs="Arial"/>
          <w:sz w:val="22"/>
          <w:szCs w:val="22"/>
        </w:rPr>
        <w:tab/>
        <w:t>Antimicrobial Resistance Collaborators. Global burden of bacterial antimicrobial resistance in 2019: a systematic analysis. Lancet. Feb 12 2022;399(10325):629-655. doi:10.1016/s0140-6736(21)02724-0</w:t>
      </w:r>
    </w:p>
    <w:p w14:paraId="76602FA3" w14:textId="77777777" w:rsidR="006106EC" w:rsidRPr="006106EC" w:rsidRDefault="006106EC" w:rsidP="006106EC">
      <w:pPr>
        <w:rPr>
          <w:rFonts w:cs="Arial"/>
          <w:sz w:val="22"/>
          <w:szCs w:val="22"/>
        </w:rPr>
      </w:pPr>
      <w:r w:rsidRPr="006106EC">
        <w:rPr>
          <w:rFonts w:cs="Arial"/>
          <w:sz w:val="22"/>
          <w:szCs w:val="22"/>
        </w:rPr>
        <w:t>2.</w:t>
      </w:r>
      <w:r w:rsidRPr="006106EC">
        <w:rPr>
          <w:rFonts w:cs="Arial"/>
          <w:sz w:val="22"/>
          <w:szCs w:val="22"/>
        </w:rPr>
        <w:tab/>
        <w:t xml:space="preserve">Fridkin S, Baggs J, Fagan R, et al. Vital signs: improving antibiotic use among hospitalized patients. MMWR Morbidity and mortality weekly report. Mar 7 2014;63(9):194-200. </w:t>
      </w:r>
    </w:p>
    <w:p w14:paraId="6310807E" w14:textId="77777777" w:rsidR="006106EC" w:rsidRPr="006106EC" w:rsidRDefault="006106EC" w:rsidP="006106EC">
      <w:pPr>
        <w:rPr>
          <w:rFonts w:cs="Arial"/>
          <w:sz w:val="22"/>
          <w:szCs w:val="22"/>
        </w:rPr>
      </w:pPr>
      <w:r w:rsidRPr="006106EC">
        <w:rPr>
          <w:rFonts w:cs="Arial"/>
          <w:sz w:val="22"/>
          <w:szCs w:val="22"/>
        </w:rPr>
        <w:t>3.</w:t>
      </w:r>
      <w:r w:rsidRPr="006106EC">
        <w:rPr>
          <w:rFonts w:cs="Arial"/>
          <w:sz w:val="22"/>
          <w:szCs w:val="22"/>
        </w:rPr>
        <w:tab/>
        <w:t>CDC. Core Elements of Hospital Antibiotic Stewardship Programs. US Department of Health and Human Services. CDC. Accessed August 3, 2022. https://www.cdc.gov/antibiotic-use/healthcare/pdfs/hospital-core-elements-H.pdf</w:t>
      </w:r>
    </w:p>
    <w:p w14:paraId="0B1E3A6B" w14:textId="77777777" w:rsidR="006106EC" w:rsidRPr="006106EC" w:rsidRDefault="006106EC" w:rsidP="006106EC">
      <w:pPr>
        <w:rPr>
          <w:rFonts w:cs="Arial"/>
          <w:sz w:val="22"/>
          <w:szCs w:val="22"/>
        </w:rPr>
      </w:pPr>
      <w:r w:rsidRPr="006106EC">
        <w:rPr>
          <w:rFonts w:cs="Arial"/>
          <w:sz w:val="22"/>
          <w:szCs w:val="22"/>
        </w:rPr>
        <w:t>4.</w:t>
      </w:r>
      <w:r w:rsidRPr="006106EC">
        <w:rPr>
          <w:rFonts w:cs="Arial"/>
          <w:sz w:val="22"/>
          <w:szCs w:val="22"/>
        </w:rPr>
        <w:tab/>
        <w:t xml:space="preserve">Dunbar LM, Khashab MM, Kahn JB, </w:t>
      </w:r>
      <w:proofErr w:type="spellStart"/>
      <w:r w:rsidRPr="006106EC">
        <w:rPr>
          <w:rFonts w:cs="Arial"/>
          <w:sz w:val="22"/>
          <w:szCs w:val="22"/>
        </w:rPr>
        <w:t>Zadeikis</w:t>
      </w:r>
      <w:proofErr w:type="spellEnd"/>
      <w:r w:rsidRPr="006106EC">
        <w:rPr>
          <w:rFonts w:cs="Arial"/>
          <w:sz w:val="22"/>
          <w:szCs w:val="22"/>
        </w:rPr>
        <w:t xml:space="preserve"> N, Xiang JX, </w:t>
      </w:r>
      <w:proofErr w:type="spellStart"/>
      <w:r w:rsidRPr="006106EC">
        <w:rPr>
          <w:rFonts w:cs="Arial"/>
          <w:sz w:val="22"/>
          <w:szCs w:val="22"/>
        </w:rPr>
        <w:t>Tennenberg</w:t>
      </w:r>
      <w:proofErr w:type="spellEnd"/>
      <w:r w:rsidRPr="006106EC">
        <w:rPr>
          <w:rFonts w:cs="Arial"/>
          <w:sz w:val="22"/>
          <w:szCs w:val="22"/>
        </w:rPr>
        <w:t xml:space="preserve"> AM. Efficacy of 750-mg, 5-day levofloxacin in the treatment of community-acquired pneumonia caused by atypical pathogens. Curr Med Res </w:t>
      </w:r>
      <w:proofErr w:type="spellStart"/>
      <w:r w:rsidRPr="006106EC">
        <w:rPr>
          <w:rFonts w:cs="Arial"/>
          <w:sz w:val="22"/>
          <w:szCs w:val="22"/>
        </w:rPr>
        <w:t>Opin</w:t>
      </w:r>
      <w:proofErr w:type="spellEnd"/>
      <w:r w:rsidRPr="006106EC">
        <w:rPr>
          <w:rFonts w:cs="Arial"/>
          <w:sz w:val="22"/>
          <w:szCs w:val="22"/>
        </w:rPr>
        <w:t>. Apr 2004;20(4):555-63. doi:10.1185/030079904125003304</w:t>
      </w:r>
    </w:p>
    <w:p w14:paraId="21B3C9C7" w14:textId="77777777" w:rsidR="006106EC" w:rsidRPr="006106EC" w:rsidRDefault="006106EC" w:rsidP="006106EC">
      <w:pPr>
        <w:rPr>
          <w:rFonts w:cs="Arial"/>
          <w:sz w:val="22"/>
          <w:szCs w:val="22"/>
        </w:rPr>
      </w:pPr>
      <w:r w:rsidRPr="006106EC">
        <w:rPr>
          <w:rFonts w:cs="Arial"/>
          <w:sz w:val="22"/>
          <w:szCs w:val="22"/>
        </w:rPr>
        <w:t>5.</w:t>
      </w:r>
      <w:r w:rsidRPr="006106EC">
        <w:rPr>
          <w:rFonts w:cs="Arial"/>
          <w:sz w:val="22"/>
          <w:szCs w:val="22"/>
        </w:rPr>
        <w:tab/>
        <w:t xml:space="preserve">Zhao X, Wu JF, Xiu QY, et al. A randomized controlled clinical trial of levofloxacin 750 mg versus 500 mg intravenous infusion in the treatment of community-acquired pneumonia. </w:t>
      </w:r>
      <w:proofErr w:type="spellStart"/>
      <w:r w:rsidRPr="006106EC">
        <w:rPr>
          <w:rFonts w:cs="Arial"/>
          <w:sz w:val="22"/>
          <w:szCs w:val="22"/>
        </w:rPr>
        <w:t>Diagn</w:t>
      </w:r>
      <w:proofErr w:type="spellEnd"/>
      <w:r w:rsidRPr="006106EC">
        <w:rPr>
          <w:rFonts w:cs="Arial"/>
          <w:sz w:val="22"/>
          <w:szCs w:val="22"/>
        </w:rPr>
        <w:t xml:space="preserve"> </w:t>
      </w:r>
      <w:proofErr w:type="spellStart"/>
      <w:r w:rsidRPr="006106EC">
        <w:rPr>
          <w:rFonts w:cs="Arial"/>
          <w:sz w:val="22"/>
          <w:szCs w:val="22"/>
        </w:rPr>
        <w:t>Microbiol</w:t>
      </w:r>
      <w:proofErr w:type="spellEnd"/>
      <w:r w:rsidRPr="006106EC">
        <w:rPr>
          <w:rFonts w:cs="Arial"/>
          <w:sz w:val="22"/>
          <w:szCs w:val="22"/>
        </w:rPr>
        <w:t xml:space="preserve"> Infect Dis. Oct 2014;80(2):141-7. doi:10.1016/j.diagmicrobio.2013.11.008</w:t>
      </w:r>
    </w:p>
    <w:p w14:paraId="0950A5E5" w14:textId="77777777" w:rsidR="006106EC" w:rsidRPr="006106EC" w:rsidRDefault="006106EC" w:rsidP="006106EC">
      <w:pPr>
        <w:rPr>
          <w:rFonts w:cs="Arial"/>
          <w:sz w:val="22"/>
          <w:szCs w:val="22"/>
        </w:rPr>
      </w:pPr>
      <w:r w:rsidRPr="006106EC">
        <w:rPr>
          <w:rFonts w:cs="Arial"/>
          <w:sz w:val="22"/>
          <w:szCs w:val="22"/>
        </w:rPr>
        <w:t>6.</w:t>
      </w:r>
      <w:r w:rsidRPr="006106EC">
        <w:rPr>
          <w:rFonts w:cs="Arial"/>
          <w:sz w:val="22"/>
          <w:szCs w:val="22"/>
        </w:rPr>
        <w:tab/>
        <w:t xml:space="preserve">Pakistan </w:t>
      </w:r>
      <w:proofErr w:type="spellStart"/>
      <w:r w:rsidRPr="006106EC">
        <w:rPr>
          <w:rFonts w:cs="Arial"/>
          <w:sz w:val="22"/>
          <w:szCs w:val="22"/>
        </w:rPr>
        <w:t>Multicentre</w:t>
      </w:r>
      <w:proofErr w:type="spellEnd"/>
      <w:r w:rsidRPr="006106EC">
        <w:rPr>
          <w:rFonts w:cs="Arial"/>
          <w:sz w:val="22"/>
          <w:szCs w:val="22"/>
        </w:rPr>
        <w:t xml:space="preserve"> Amoxycillin Short Course Therapy pneumonia study. Clinical efficacy of 3 days versus 5 days of oral amoxicillin for treatment of childhood pneumonia: a </w:t>
      </w:r>
      <w:proofErr w:type="spellStart"/>
      <w:r w:rsidRPr="006106EC">
        <w:rPr>
          <w:rFonts w:cs="Arial"/>
          <w:sz w:val="22"/>
          <w:szCs w:val="22"/>
        </w:rPr>
        <w:t>multicentre</w:t>
      </w:r>
      <w:proofErr w:type="spellEnd"/>
      <w:r w:rsidRPr="006106EC">
        <w:rPr>
          <w:rFonts w:cs="Arial"/>
          <w:sz w:val="22"/>
          <w:szCs w:val="22"/>
        </w:rPr>
        <w:t xml:space="preserve"> double-blind trial. Lancet. Sep 14 2002;360(9336):835-41. doi:10.1016/s0140-6736(02)09994-4</w:t>
      </w:r>
    </w:p>
    <w:p w14:paraId="75F90A6B" w14:textId="77777777" w:rsidR="006106EC" w:rsidRPr="006106EC" w:rsidRDefault="006106EC" w:rsidP="006106EC">
      <w:pPr>
        <w:rPr>
          <w:rFonts w:cs="Arial"/>
          <w:sz w:val="22"/>
          <w:szCs w:val="22"/>
        </w:rPr>
      </w:pPr>
      <w:r w:rsidRPr="006106EC">
        <w:rPr>
          <w:rFonts w:cs="Arial"/>
          <w:sz w:val="22"/>
          <w:szCs w:val="22"/>
        </w:rPr>
        <w:t>7.</w:t>
      </w:r>
      <w:r w:rsidRPr="006106EC">
        <w:rPr>
          <w:rFonts w:cs="Arial"/>
          <w:sz w:val="22"/>
          <w:szCs w:val="22"/>
        </w:rPr>
        <w:tab/>
        <w:t xml:space="preserve">Greenberg D, Givon-Lavi N, Sadaka Y, Ben-Shimol S, Bar-Ziv J, Dagan R. Short-course antibiotic treatment for community-acquired alveolar pneumonia in ambulatory children: a double-blind, randomized, placebo-controlled trial. </w:t>
      </w:r>
      <w:proofErr w:type="spellStart"/>
      <w:r w:rsidRPr="006106EC">
        <w:rPr>
          <w:rFonts w:cs="Arial"/>
          <w:sz w:val="22"/>
          <w:szCs w:val="22"/>
        </w:rPr>
        <w:t>Pediatr</w:t>
      </w:r>
      <w:proofErr w:type="spellEnd"/>
      <w:r w:rsidRPr="006106EC">
        <w:rPr>
          <w:rFonts w:cs="Arial"/>
          <w:sz w:val="22"/>
          <w:szCs w:val="22"/>
        </w:rPr>
        <w:t xml:space="preserve"> Infect Dis J. Feb 2014;33(2):136-42. doi:10.1097/inf.0000000000000023</w:t>
      </w:r>
    </w:p>
    <w:p w14:paraId="6E11AEF8" w14:textId="77777777" w:rsidR="006106EC" w:rsidRPr="006106EC" w:rsidRDefault="006106EC" w:rsidP="006106EC">
      <w:pPr>
        <w:rPr>
          <w:rFonts w:cs="Arial"/>
          <w:sz w:val="22"/>
          <w:szCs w:val="22"/>
        </w:rPr>
      </w:pPr>
      <w:r w:rsidRPr="006106EC">
        <w:rPr>
          <w:rFonts w:cs="Arial"/>
          <w:sz w:val="22"/>
          <w:szCs w:val="22"/>
        </w:rPr>
        <w:t>8.</w:t>
      </w:r>
      <w:r w:rsidRPr="006106EC">
        <w:rPr>
          <w:rFonts w:cs="Arial"/>
          <w:sz w:val="22"/>
          <w:szCs w:val="22"/>
        </w:rPr>
        <w:tab/>
      </w:r>
      <w:proofErr w:type="spellStart"/>
      <w:r w:rsidRPr="006106EC">
        <w:rPr>
          <w:rFonts w:cs="Arial"/>
          <w:sz w:val="22"/>
          <w:szCs w:val="22"/>
        </w:rPr>
        <w:t>el</w:t>
      </w:r>
      <w:proofErr w:type="spellEnd"/>
      <w:r w:rsidRPr="006106EC">
        <w:rPr>
          <w:rFonts w:cs="Arial"/>
          <w:sz w:val="22"/>
          <w:szCs w:val="22"/>
        </w:rPr>
        <w:t xml:space="preserve"> Moussaoui R, de Borgie CA, van den Broek P, et al. Effectiveness of discontinuing antibiotic treatment after three days versus eight days in mild to moderate-severe community acquired pneumonia: </w:t>
      </w:r>
      <w:proofErr w:type="spellStart"/>
      <w:r w:rsidRPr="006106EC">
        <w:rPr>
          <w:rFonts w:cs="Arial"/>
          <w:sz w:val="22"/>
          <w:szCs w:val="22"/>
        </w:rPr>
        <w:t>randomised</w:t>
      </w:r>
      <w:proofErr w:type="spellEnd"/>
      <w:r w:rsidRPr="006106EC">
        <w:rPr>
          <w:rFonts w:cs="Arial"/>
          <w:sz w:val="22"/>
          <w:szCs w:val="22"/>
        </w:rPr>
        <w:t xml:space="preserve">, </w:t>
      </w:r>
      <w:proofErr w:type="gramStart"/>
      <w:r w:rsidRPr="006106EC">
        <w:rPr>
          <w:rFonts w:cs="Arial"/>
          <w:sz w:val="22"/>
          <w:szCs w:val="22"/>
        </w:rPr>
        <w:t>double blind</w:t>
      </w:r>
      <w:proofErr w:type="gramEnd"/>
      <w:r w:rsidRPr="006106EC">
        <w:rPr>
          <w:rFonts w:cs="Arial"/>
          <w:sz w:val="22"/>
          <w:szCs w:val="22"/>
        </w:rPr>
        <w:t xml:space="preserve"> study. BMJ (Clinical research ed). Jun 10 2006;332(7554):1355. doi:10.1136/bmj.332.7554.1355</w:t>
      </w:r>
    </w:p>
    <w:p w14:paraId="377242ED" w14:textId="77777777" w:rsidR="006106EC" w:rsidRPr="006106EC" w:rsidRDefault="006106EC" w:rsidP="006106EC">
      <w:pPr>
        <w:rPr>
          <w:rFonts w:cs="Arial"/>
          <w:sz w:val="22"/>
          <w:szCs w:val="22"/>
        </w:rPr>
      </w:pPr>
      <w:r w:rsidRPr="006106EC">
        <w:rPr>
          <w:rFonts w:cs="Arial"/>
          <w:sz w:val="22"/>
          <w:szCs w:val="22"/>
        </w:rPr>
        <w:t>9.</w:t>
      </w:r>
      <w:r w:rsidRPr="006106EC">
        <w:rPr>
          <w:rFonts w:cs="Arial"/>
          <w:sz w:val="22"/>
          <w:szCs w:val="22"/>
        </w:rPr>
        <w:tab/>
        <w:t>Uranga A, Espana PP, Bilbao A, et al. Duration of Antibiotic Treatment in Community-Acquired Pneumonia: A Multicenter Randomized Clinical Trial. JAMA Intern Med. Sep 1 2016;176(9):1257-65. doi:10.1001/jamainternmed.2016.3633</w:t>
      </w:r>
    </w:p>
    <w:p w14:paraId="357E480E" w14:textId="77777777" w:rsidR="006106EC" w:rsidRPr="006106EC" w:rsidRDefault="006106EC" w:rsidP="006106EC">
      <w:pPr>
        <w:rPr>
          <w:rFonts w:cs="Arial"/>
          <w:sz w:val="22"/>
          <w:szCs w:val="22"/>
        </w:rPr>
      </w:pPr>
      <w:r w:rsidRPr="006106EC">
        <w:rPr>
          <w:rFonts w:cs="Arial"/>
          <w:sz w:val="22"/>
          <w:szCs w:val="22"/>
        </w:rPr>
        <w:t>10.</w:t>
      </w:r>
      <w:r w:rsidRPr="006106EC">
        <w:rPr>
          <w:rFonts w:cs="Arial"/>
          <w:sz w:val="22"/>
          <w:szCs w:val="22"/>
        </w:rPr>
        <w:tab/>
        <w:t xml:space="preserve">Harris JA, </w:t>
      </w:r>
      <w:proofErr w:type="spellStart"/>
      <w:r w:rsidRPr="006106EC">
        <w:rPr>
          <w:rFonts w:cs="Arial"/>
          <w:sz w:val="22"/>
          <w:szCs w:val="22"/>
        </w:rPr>
        <w:t>Kolokathis</w:t>
      </w:r>
      <w:proofErr w:type="spellEnd"/>
      <w:r w:rsidRPr="006106EC">
        <w:rPr>
          <w:rFonts w:cs="Arial"/>
          <w:sz w:val="22"/>
          <w:szCs w:val="22"/>
        </w:rPr>
        <w:t xml:space="preserve"> A, Campbell M, Cassell GH, Hammerschlag MR. Safety and efficacy of azithromycin in the treatment of community-acquired pneumonia in children. </w:t>
      </w:r>
      <w:proofErr w:type="spellStart"/>
      <w:r w:rsidRPr="006106EC">
        <w:rPr>
          <w:rFonts w:cs="Arial"/>
          <w:sz w:val="22"/>
          <w:szCs w:val="22"/>
        </w:rPr>
        <w:t>Pediatr</w:t>
      </w:r>
      <w:proofErr w:type="spellEnd"/>
      <w:r w:rsidRPr="006106EC">
        <w:rPr>
          <w:rFonts w:cs="Arial"/>
          <w:sz w:val="22"/>
          <w:szCs w:val="22"/>
        </w:rPr>
        <w:t xml:space="preserve"> Infect Dis J. Oct 1998;17(10):865-71. doi:10.1097/00006454-199810000-00004</w:t>
      </w:r>
    </w:p>
    <w:p w14:paraId="489EFF47" w14:textId="77777777" w:rsidR="006106EC" w:rsidRPr="006106EC" w:rsidRDefault="006106EC" w:rsidP="006106EC">
      <w:pPr>
        <w:rPr>
          <w:rFonts w:cs="Arial"/>
          <w:sz w:val="22"/>
          <w:szCs w:val="22"/>
        </w:rPr>
      </w:pPr>
      <w:r w:rsidRPr="006106EC">
        <w:rPr>
          <w:rFonts w:cs="Arial"/>
          <w:sz w:val="22"/>
          <w:szCs w:val="22"/>
        </w:rPr>
        <w:t>11.</w:t>
      </w:r>
      <w:r w:rsidRPr="006106EC">
        <w:rPr>
          <w:rFonts w:cs="Arial"/>
          <w:sz w:val="22"/>
          <w:szCs w:val="22"/>
        </w:rPr>
        <w:tab/>
        <w:t xml:space="preserve">Dinh A, Ropers J, Duran C, et al. Discontinuing β-lactam treatment after 3 days for patients with community-acquired pneumonia in non-critical care wards (PTC): a double-blind, </w:t>
      </w:r>
      <w:proofErr w:type="spellStart"/>
      <w:r w:rsidRPr="006106EC">
        <w:rPr>
          <w:rFonts w:cs="Arial"/>
          <w:sz w:val="22"/>
          <w:szCs w:val="22"/>
        </w:rPr>
        <w:t>randomised</w:t>
      </w:r>
      <w:proofErr w:type="spellEnd"/>
      <w:r w:rsidRPr="006106EC">
        <w:rPr>
          <w:rFonts w:cs="Arial"/>
          <w:sz w:val="22"/>
          <w:szCs w:val="22"/>
        </w:rPr>
        <w:t>, placebo-controlled, non-inferiority trial. Lancet. Mar 27 2021;397(10280):1195-1203. doi:10.1016/s0140-6736(21)00313-5</w:t>
      </w:r>
    </w:p>
    <w:p w14:paraId="16B4177E" w14:textId="77777777" w:rsidR="006106EC" w:rsidRPr="006106EC" w:rsidRDefault="006106EC" w:rsidP="006106EC">
      <w:pPr>
        <w:rPr>
          <w:rFonts w:cs="Arial"/>
          <w:sz w:val="22"/>
          <w:szCs w:val="22"/>
        </w:rPr>
      </w:pPr>
      <w:r w:rsidRPr="006106EC">
        <w:rPr>
          <w:rFonts w:cs="Arial"/>
          <w:sz w:val="22"/>
          <w:szCs w:val="22"/>
        </w:rPr>
        <w:t>12.</w:t>
      </w:r>
      <w:r w:rsidRPr="006106EC">
        <w:rPr>
          <w:rFonts w:cs="Arial"/>
          <w:sz w:val="22"/>
          <w:szCs w:val="22"/>
        </w:rPr>
        <w:tab/>
        <w:t xml:space="preserve">Ginsburg AS, </w:t>
      </w:r>
      <w:proofErr w:type="spellStart"/>
      <w:r w:rsidRPr="006106EC">
        <w:rPr>
          <w:rFonts w:cs="Arial"/>
          <w:sz w:val="22"/>
          <w:szCs w:val="22"/>
        </w:rPr>
        <w:t>Mvalo</w:t>
      </w:r>
      <w:proofErr w:type="spellEnd"/>
      <w:r w:rsidRPr="006106EC">
        <w:rPr>
          <w:rFonts w:cs="Arial"/>
          <w:sz w:val="22"/>
          <w:szCs w:val="22"/>
        </w:rPr>
        <w:t xml:space="preserve"> T, </w:t>
      </w:r>
      <w:proofErr w:type="spellStart"/>
      <w:r w:rsidRPr="006106EC">
        <w:rPr>
          <w:rFonts w:cs="Arial"/>
          <w:sz w:val="22"/>
          <w:szCs w:val="22"/>
        </w:rPr>
        <w:t>Nkwopara</w:t>
      </w:r>
      <w:proofErr w:type="spellEnd"/>
      <w:r w:rsidRPr="006106EC">
        <w:rPr>
          <w:rFonts w:cs="Arial"/>
          <w:sz w:val="22"/>
          <w:szCs w:val="22"/>
        </w:rPr>
        <w:t xml:space="preserve"> E, et al. Amoxicillin for 3 or 5 Days for Chest-Indrawing Pneumonia in Malawian Children. N Engl J Med. Jul 2 2020;383(1):13-23. doi:10.1056/NEJMoa1912400</w:t>
      </w:r>
    </w:p>
    <w:p w14:paraId="15F6084E" w14:textId="77777777" w:rsidR="006106EC" w:rsidRPr="006106EC" w:rsidRDefault="006106EC" w:rsidP="006106EC">
      <w:pPr>
        <w:rPr>
          <w:rFonts w:cs="Arial"/>
          <w:sz w:val="22"/>
          <w:szCs w:val="22"/>
        </w:rPr>
      </w:pPr>
      <w:r w:rsidRPr="006106EC">
        <w:rPr>
          <w:rFonts w:cs="Arial"/>
          <w:sz w:val="22"/>
          <w:szCs w:val="22"/>
        </w:rPr>
        <w:t>13.</w:t>
      </w:r>
      <w:r w:rsidRPr="006106EC">
        <w:rPr>
          <w:rFonts w:cs="Arial"/>
          <w:sz w:val="22"/>
          <w:szCs w:val="22"/>
        </w:rPr>
        <w:tab/>
      </w:r>
      <w:proofErr w:type="spellStart"/>
      <w:r w:rsidRPr="006106EC">
        <w:rPr>
          <w:rFonts w:cs="Arial"/>
          <w:sz w:val="22"/>
          <w:szCs w:val="22"/>
        </w:rPr>
        <w:t>Pernica</w:t>
      </w:r>
      <w:proofErr w:type="spellEnd"/>
      <w:r w:rsidRPr="006106EC">
        <w:rPr>
          <w:rFonts w:cs="Arial"/>
          <w:sz w:val="22"/>
          <w:szCs w:val="22"/>
        </w:rPr>
        <w:t xml:space="preserve"> JM, Harman S, Kam AJ, et al. Short-Course Antimicrobial Therapy for Pediatric Community-Acquired Pneumonia: The SAFER Randomized Clinical Trial. JAMA </w:t>
      </w:r>
      <w:proofErr w:type="spellStart"/>
      <w:r w:rsidRPr="006106EC">
        <w:rPr>
          <w:rFonts w:cs="Arial"/>
          <w:sz w:val="22"/>
          <w:szCs w:val="22"/>
        </w:rPr>
        <w:t>Pediatr</w:t>
      </w:r>
      <w:proofErr w:type="spellEnd"/>
      <w:r w:rsidRPr="006106EC">
        <w:rPr>
          <w:rFonts w:cs="Arial"/>
          <w:sz w:val="22"/>
          <w:szCs w:val="22"/>
        </w:rPr>
        <w:t>. May 1 2021;175(5):475-482. doi:10.1001/jamapediatrics.2020.6735</w:t>
      </w:r>
    </w:p>
    <w:p w14:paraId="1AA94F69" w14:textId="77777777" w:rsidR="006106EC" w:rsidRPr="006106EC" w:rsidRDefault="006106EC" w:rsidP="006106EC">
      <w:pPr>
        <w:rPr>
          <w:rFonts w:cs="Arial"/>
          <w:sz w:val="22"/>
          <w:szCs w:val="22"/>
        </w:rPr>
      </w:pPr>
      <w:r w:rsidRPr="006106EC">
        <w:rPr>
          <w:rFonts w:cs="Arial"/>
          <w:sz w:val="22"/>
          <w:szCs w:val="22"/>
        </w:rPr>
        <w:t>14.</w:t>
      </w:r>
      <w:r w:rsidRPr="006106EC">
        <w:rPr>
          <w:rFonts w:cs="Arial"/>
          <w:sz w:val="22"/>
          <w:szCs w:val="22"/>
        </w:rPr>
        <w:tab/>
        <w:t xml:space="preserve">Dinh A, Davido B, </w:t>
      </w:r>
      <w:proofErr w:type="spellStart"/>
      <w:r w:rsidRPr="006106EC">
        <w:rPr>
          <w:rFonts w:cs="Arial"/>
          <w:sz w:val="22"/>
          <w:szCs w:val="22"/>
        </w:rPr>
        <w:t>Bouchand</w:t>
      </w:r>
      <w:proofErr w:type="spellEnd"/>
      <w:r w:rsidRPr="006106EC">
        <w:rPr>
          <w:rFonts w:cs="Arial"/>
          <w:sz w:val="22"/>
          <w:szCs w:val="22"/>
        </w:rPr>
        <w:t xml:space="preserve"> F, Duran C, Ropers J, </w:t>
      </w:r>
      <w:proofErr w:type="spellStart"/>
      <w:r w:rsidRPr="006106EC">
        <w:rPr>
          <w:rFonts w:cs="Arial"/>
          <w:sz w:val="22"/>
          <w:szCs w:val="22"/>
        </w:rPr>
        <w:t>Crémieux</w:t>
      </w:r>
      <w:proofErr w:type="spellEnd"/>
      <w:r w:rsidRPr="006106EC">
        <w:rPr>
          <w:rFonts w:cs="Arial"/>
          <w:sz w:val="22"/>
          <w:szCs w:val="22"/>
        </w:rPr>
        <w:t xml:space="preserve"> AC. Honey, I Shrunk the Antibiotic Therapy. Clin Infect Dis. Jun 1 2018;66(12):1981-1982. doi:10.1093/</w:t>
      </w:r>
      <w:proofErr w:type="spellStart"/>
      <w:r w:rsidRPr="006106EC">
        <w:rPr>
          <w:rFonts w:cs="Arial"/>
          <w:sz w:val="22"/>
          <w:szCs w:val="22"/>
        </w:rPr>
        <w:t>cid</w:t>
      </w:r>
      <w:proofErr w:type="spellEnd"/>
      <w:r w:rsidRPr="006106EC">
        <w:rPr>
          <w:rFonts w:cs="Arial"/>
          <w:sz w:val="22"/>
          <w:szCs w:val="22"/>
        </w:rPr>
        <w:t>/ciy047</w:t>
      </w:r>
    </w:p>
    <w:p w14:paraId="6C583606" w14:textId="77777777" w:rsidR="006106EC" w:rsidRPr="006106EC" w:rsidRDefault="006106EC" w:rsidP="006106EC">
      <w:pPr>
        <w:rPr>
          <w:rFonts w:cs="Arial"/>
          <w:sz w:val="22"/>
          <w:szCs w:val="22"/>
        </w:rPr>
      </w:pPr>
      <w:r w:rsidRPr="006106EC">
        <w:rPr>
          <w:rFonts w:cs="Arial"/>
          <w:sz w:val="22"/>
          <w:szCs w:val="22"/>
        </w:rPr>
        <w:t>15.</w:t>
      </w:r>
      <w:r w:rsidRPr="006106EC">
        <w:rPr>
          <w:rFonts w:cs="Arial"/>
          <w:sz w:val="22"/>
          <w:szCs w:val="22"/>
        </w:rPr>
        <w:tab/>
        <w:t>Vaughn VM, Flanders SA, Snyder A, et al. Excess Antibiotic Treatment Duration and Adverse Events in Patients Hospitalized with Pneumonia: A Multihospital Cohort Study. Annals of internal medicine. Aug 6 2019;171(3):153-163. doi:10.7326/M18-3640</w:t>
      </w:r>
    </w:p>
    <w:p w14:paraId="0F1D7DF1" w14:textId="77777777" w:rsidR="006106EC" w:rsidRPr="006106EC" w:rsidRDefault="006106EC" w:rsidP="006106EC">
      <w:pPr>
        <w:rPr>
          <w:rFonts w:cs="Arial"/>
          <w:sz w:val="22"/>
          <w:szCs w:val="22"/>
        </w:rPr>
      </w:pPr>
      <w:r w:rsidRPr="006106EC">
        <w:rPr>
          <w:rFonts w:cs="Arial"/>
          <w:sz w:val="22"/>
          <w:szCs w:val="22"/>
        </w:rPr>
        <w:t>16.</w:t>
      </w:r>
      <w:r w:rsidRPr="006106EC">
        <w:rPr>
          <w:rFonts w:cs="Arial"/>
          <w:sz w:val="22"/>
          <w:szCs w:val="22"/>
        </w:rPr>
        <w:tab/>
      </w:r>
      <w:proofErr w:type="spellStart"/>
      <w:r w:rsidRPr="006106EC">
        <w:rPr>
          <w:rFonts w:cs="Arial"/>
          <w:sz w:val="22"/>
          <w:szCs w:val="22"/>
        </w:rPr>
        <w:t>Sterrantino</w:t>
      </w:r>
      <w:proofErr w:type="spellEnd"/>
      <w:r w:rsidRPr="006106EC">
        <w:rPr>
          <w:rFonts w:cs="Arial"/>
          <w:sz w:val="22"/>
          <w:szCs w:val="22"/>
        </w:rPr>
        <w:t xml:space="preserve"> C, </w:t>
      </w:r>
      <w:proofErr w:type="spellStart"/>
      <w:r w:rsidRPr="006106EC">
        <w:rPr>
          <w:rFonts w:cs="Arial"/>
          <w:sz w:val="22"/>
          <w:szCs w:val="22"/>
        </w:rPr>
        <w:t>Trifirò</w:t>
      </w:r>
      <w:proofErr w:type="spellEnd"/>
      <w:r w:rsidRPr="006106EC">
        <w:rPr>
          <w:rFonts w:cs="Arial"/>
          <w:sz w:val="22"/>
          <w:szCs w:val="22"/>
        </w:rPr>
        <w:t xml:space="preserve"> G, Lapi F, et al. Burden of community-acquired pneumonia in Italian general practice. </w:t>
      </w:r>
      <w:proofErr w:type="spellStart"/>
      <w:r w:rsidRPr="006106EC">
        <w:rPr>
          <w:rFonts w:cs="Arial"/>
          <w:sz w:val="22"/>
          <w:szCs w:val="22"/>
        </w:rPr>
        <w:t>Eur</w:t>
      </w:r>
      <w:proofErr w:type="spellEnd"/>
      <w:r w:rsidRPr="006106EC">
        <w:rPr>
          <w:rFonts w:cs="Arial"/>
          <w:sz w:val="22"/>
          <w:szCs w:val="22"/>
        </w:rPr>
        <w:t xml:space="preserve"> Respir J. Dec 2013;42(6):1739-42. doi:10.1183/09031936.00128713</w:t>
      </w:r>
    </w:p>
    <w:p w14:paraId="79754078" w14:textId="77777777" w:rsidR="006106EC" w:rsidRPr="006106EC" w:rsidRDefault="006106EC" w:rsidP="006106EC">
      <w:pPr>
        <w:rPr>
          <w:rFonts w:cs="Arial"/>
          <w:sz w:val="22"/>
          <w:szCs w:val="22"/>
        </w:rPr>
      </w:pPr>
      <w:r w:rsidRPr="006106EC">
        <w:rPr>
          <w:rFonts w:cs="Arial"/>
          <w:sz w:val="22"/>
          <w:szCs w:val="22"/>
        </w:rPr>
        <w:t>17.</w:t>
      </w:r>
      <w:r w:rsidRPr="006106EC">
        <w:rPr>
          <w:rFonts w:cs="Arial"/>
          <w:sz w:val="22"/>
          <w:szCs w:val="22"/>
        </w:rPr>
        <w:tab/>
      </w:r>
      <w:proofErr w:type="spellStart"/>
      <w:r w:rsidRPr="006106EC">
        <w:rPr>
          <w:rFonts w:cs="Arial"/>
          <w:sz w:val="22"/>
          <w:szCs w:val="22"/>
        </w:rPr>
        <w:t>Partouche</w:t>
      </w:r>
      <w:proofErr w:type="spellEnd"/>
      <w:r w:rsidRPr="006106EC">
        <w:rPr>
          <w:rFonts w:cs="Arial"/>
          <w:sz w:val="22"/>
          <w:szCs w:val="22"/>
        </w:rPr>
        <w:t xml:space="preserve"> H, </w:t>
      </w:r>
      <w:proofErr w:type="spellStart"/>
      <w:r w:rsidRPr="006106EC">
        <w:rPr>
          <w:rFonts w:cs="Arial"/>
          <w:sz w:val="22"/>
          <w:szCs w:val="22"/>
        </w:rPr>
        <w:t>Lepoutre</w:t>
      </w:r>
      <w:proofErr w:type="spellEnd"/>
      <w:r w:rsidRPr="006106EC">
        <w:rPr>
          <w:rFonts w:cs="Arial"/>
          <w:sz w:val="22"/>
          <w:szCs w:val="22"/>
        </w:rPr>
        <w:t xml:space="preserve"> A, </w:t>
      </w:r>
      <w:proofErr w:type="spellStart"/>
      <w:r w:rsidRPr="006106EC">
        <w:rPr>
          <w:rFonts w:cs="Arial"/>
          <w:sz w:val="22"/>
          <w:szCs w:val="22"/>
        </w:rPr>
        <w:t>Vaure</w:t>
      </w:r>
      <w:proofErr w:type="spellEnd"/>
      <w:r w:rsidRPr="006106EC">
        <w:rPr>
          <w:rFonts w:cs="Arial"/>
          <w:sz w:val="22"/>
          <w:szCs w:val="22"/>
        </w:rPr>
        <w:t xml:space="preserve"> CBD, Poisson T, </w:t>
      </w:r>
      <w:proofErr w:type="spellStart"/>
      <w:r w:rsidRPr="006106EC">
        <w:rPr>
          <w:rFonts w:cs="Arial"/>
          <w:sz w:val="22"/>
          <w:szCs w:val="22"/>
        </w:rPr>
        <w:t>Toubiana</w:t>
      </w:r>
      <w:proofErr w:type="spellEnd"/>
      <w:r w:rsidRPr="006106EC">
        <w:rPr>
          <w:rFonts w:cs="Arial"/>
          <w:sz w:val="22"/>
          <w:szCs w:val="22"/>
        </w:rPr>
        <w:t xml:space="preserve"> L, Gilberg S. Incidence of all-cause adult community-acquired pneumonia in primary care settings in France. Med Mal Infect. Sep 2018;48(6):389-395. doi:10.1016/j.medmal.2018.02.012</w:t>
      </w:r>
    </w:p>
    <w:p w14:paraId="22372518" w14:textId="77777777" w:rsidR="006106EC" w:rsidRPr="006106EC" w:rsidRDefault="006106EC" w:rsidP="006106EC">
      <w:pPr>
        <w:rPr>
          <w:rFonts w:cs="Arial"/>
          <w:sz w:val="22"/>
          <w:szCs w:val="22"/>
        </w:rPr>
      </w:pPr>
      <w:r w:rsidRPr="006106EC">
        <w:rPr>
          <w:rFonts w:cs="Arial"/>
          <w:sz w:val="22"/>
          <w:szCs w:val="22"/>
        </w:rPr>
        <w:t>18.</w:t>
      </w:r>
      <w:r w:rsidRPr="006106EC">
        <w:rPr>
          <w:rFonts w:cs="Arial"/>
          <w:sz w:val="22"/>
          <w:szCs w:val="22"/>
        </w:rPr>
        <w:tab/>
        <w:t xml:space="preserve">McDermott KW </w:t>
      </w:r>
      <w:proofErr w:type="spellStart"/>
      <w:r w:rsidRPr="006106EC">
        <w:rPr>
          <w:rFonts w:cs="Arial"/>
          <w:sz w:val="22"/>
          <w:szCs w:val="22"/>
        </w:rPr>
        <w:t>aRM.</w:t>
      </w:r>
      <w:proofErr w:type="spellEnd"/>
      <w:r w:rsidRPr="006106EC">
        <w:rPr>
          <w:rFonts w:cs="Arial"/>
          <w:sz w:val="22"/>
          <w:szCs w:val="22"/>
        </w:rPr>
        <w:t xml:space="preserve"> Most Frequent Principal Diagnoses for Inpatient Stays  in U.S. Hospitals, 2018. 2021. https://hcup-us.ahrq.gov/reports/statbriefs/sb277-Top-Reasons-Hospital-Stays-</w:t>
      </w:r>
      <w:r w:rsidRPr="006106EC">
        <w:rPr>
          <w:rFonts w:cs="Arial"/>
          <w:sz w:val="22"/>
          <w:szCs w:val="22"/>
        </w:rPr>
        <w:lastRenderedPageBreak/>
        <w:t>2018.pdf#:~:text=The%20most%20frequent%20principal%20diagnoses%20for%20hospitalizations%20in,caused%20by%20tuberculosis%29%2C%20and%20diabetes%20mellitus%20with%20complication</w:t>
      </w:r>
    </w:p>
    <w:p w14:paraId="3896D9F8" w14:textId="77777777" w:rsidR="006106EC" w:rsidRPr="006106EC" w:rsidRDefault="006106EC" w:rsidP="006106EC">
      <w:pPr>
        <w:rPr>
          <w:rFonts w:cs="Arial"/>
          <w:sz w:val="22"/>
          <w:szCs w:val="22"/>
        </w:rPr>
      </w:pPr>
      <w:r w:rsidRPr="006106EC">
        <w:rPr>
          <w:rFonts w:cs="Arial"/>
          <w:sz w:val="22"/>
          <w:szCs w:val="22"/>
        </w:rPr>
        <w:t>19.</w:t>
      </w:r>
      <w:r w:rsidRPr="006106EC">
        <w:rPr>
          <w:rFonts w:cs="Arial"/>
          <w:sz w:val="22"/>
          <w:szCs w:val="22"/>
        </w:rPr>
        <w:tab/>
        <w:t>Vaughn VM, Dickson RP, Horowitz JK, Flanders SA. Community-Acquired Pneumonia: A Review. Jama. Oct 15 2024;332(15):1282-1295. doi:10.1001/jama.2024.14796</w:t>
      </w:r>
    </w:p>
    <w:p w14:paraId="0E34C72E" w14:textId="77777777" w:rsidR="006106EC" w:rsidRPr="006106EC" w:rsidRDefault="006106EC" w:rsidP="006106EC">
      <w:pPr>
        <w:rPr>
          <w:rFonts w:cs="Arial"/>
          <w:sz w:val="22"/>
          <w:szCs w:val="22"/>
        </w:rPr>
      </w:pPr>
      <w:r w:rsidRPr="006106EC">
        <w:rPr>
          <w:rFonts w:cs="Arial"/>
          <w:sz w:val="22"/>
          <w:szCs w:val="22"/>
        </w:rPr>
        <w:t>20.</w:t>
      </w:r>
      <w:r w:rsidRPr="006106EC">
        <w:rPr>
          <w:rFonts w:cs="Arial"/>
          <w:sz w:val="22"/>
          <w:szCs w:val="22"/>
        </w:rPr>
        <w:tab/>
        <w:t xml:space="preserve">Yi SH, Hatfield KM, Baggs J, et al. Duration of Antibiotic Use Among Adults </w:t>
      </w:r>
      <w:proofErr w:type="gramStart"/>
      <w:r w:rsidRPr="006106EC">
        <w:rPr>
          <w:rFonts w:cs="Arial"/>
          <w:sz w:val="22"/>
          <w:szCs w:val="22"/>
        </w:rPr>
        <w:t>With</w:t>
      </w:r>
      <w:proofErr w:type="gramEnd"/>
      <w:r w:rsidRPr="006106EC">
        <w:rPr>
          <w:rFonts w:cs="Arial"/>
          <w:sz w:val="22"/>
          <w:szCs w:val="22"/>
        </w:rPr>
        <w:t xml:space="preserve"> Uncomplicated Community-Acquired Pneumonia Requiring Hospitalization in the United States. Clin Infect Dis. Apr 17 2018;66(9):1333-1341. doi:10.1093/</w:t>
      </w:r>
      <w:proofErr w:type="spellStart"/>
      <w:r w:rsidRPr="006106EC">
        <w:rPr>
          <w:rFonts w:cs="Arial"/>
          <w:sz w:val="22"/>
          <w:szCs w:val="22"/>
        </w:rPr>
        <w:t>cid</w:t>
      </w:r>
      <w:proofErr w:type="spellEnd"/>
      <w:r w:rsidRPr="006106EC">
        <w:rPr>
          <w:rFonts w:cs="Arial"/>
          <w:sz w:val="22"/>
          <w:szCs w:val="22"/>
        </w:rPr>
        <w:t>/cix986</w:t>
      </w:r>
    </w:p>
    <w:p w14:paraId="19C9D926" w14:textId="77777777" w:rsidR="006106EC" w:rsidRPr="006106EC" w:rsidRDefault="006106EC" w:rsidP="006106EC">
      <w:pPr>
        <w:rPr>
          <w:rFonts w:cs="Arial"/>
          <w:sz w:val="22"/>
          <w:szCs w:val="22"/>
        </w:rPr>
      </w:pPr>
      <w:r w:rsidRPr="006106EC">
        <w:rPr>
          <w:rFonts w:cs="Arial"/>
          <w:sz w:val="22"/>
          <w:szCs w:val="22"/>
        </w:rPr>
        <w:t>21.</w:t>
      </w:r>
      <w:r w:rsidRPr="006106EC">
        <w:rPr>
          <w:rFonts w:cs="Arial"/>
          <w:sz w:val="22"/>
          <w:szCs w:val="22"/>
        </w:rPr>
        <w:tab/>
        <w:t>Schrag SJ, Pena C, Fernandez J, et al. Effect of short-course, high-dose amoxicillin therapy on resistant pneumococcal carriage: a randomized trial. JAMA. Jul 4 2001;286(1):49-56. doi:10.1001/jama.286.1.49</w:t>
      </w:r>
    </w:p>
    <w:p w14:paraId="6F9C4B70" w14:textId="77777777" w:rsidR="006106EC" w:rsidRPr="006106EC" w:rsidRDefault="006106EC" w:rsidP="006106EC">
      <w:pPr>
        <w:rPr>
          <w:rFonts w:cs="Arial"/>
          <w:sz w:val="22"/>
          <w:szCs w:val="22"/>
        </w:rPr>
      </w:pPr>
      <w:r w:rsidRPr="006106EC">
        <w:rPr>
          <w:rFonts w:cs="Arial"/>
          <w:sz w:val="22"/>
          <w:szCs w:val="22"/>
        </w:rPr>
        <w:t>22.</w:t>
      </w:r>
      <w:r w:rsidRPr="006106EC">
        <w:rPr>
          <w:rFonts w:cs="Arial"/>
          <w:sz w:val="22"/>
          <w:szCs w:val="22"/>
        </w:rPr>
        <w:tab/>
        <w:t xml:space="preserve">Wistrom J, Norrby SR, Myhre EB, et al. Frequency of antibiotic-associated </w:t>
      </w:r>
      <w:proofErr w:type="spellStart"/>
      <w:r w:rsidRPr="006106EC">
        <w:rPr>
          <w:rFonts w:cs="Arial"/>
          <w:sz w:val="22"/>
          <w:szCs w:val="22"/>
        </w:rPr>
        <w:t>diarrhoea</w:t>
      </w:r>
      <w:proofErr w:type="spellEnd"/>
      <w:r w:rsidRPr="006106EC">
        <w:rPr>
          <w:rFonts w:cs="Arial"/>
          <w:sz w:val="22"/>
          <w:szCs w:val="22"/>
        </w:rPr>
        <w:t xml:space="preserve"> in 2462 antibiotic-treated hospitalized patients: a prospective study. The Journal of </w:t>
      </w:r>
      <w:proofErr w:type="gramStart"/>
      <w:r w:rsidRPr="006106EC">
        <w:rPr>
          <w:rFonts w:cs="Arial"/>
          <w:sz w:val="22"/>
          <w:szCs w:val="22"/>
        </w:rPr>
        <w:t>antimicrobial chemotherapy</w:t>
      </w:r>
      <w:proofErr w:type="gramEnd"/>
      <w:r w:rsidRPr="006106EC">
        <w:rPr>
          <w:rFonts w:cs="Arial"/>
          <w:sz w:val="22"/>
          <w:szCs w:val="22"/>
        </w:rPr>
        <w:t>. Jan 2001;47(1):43-50. doi:10.1093/</w:t>
      </w:r>
      <w:proofErr w:type="spellStart"/>
      <w:r w:rsidRPr="006106EC">
        <w:rPr>
          <w:rFonts w:cs="Arial"/>
          <w:sz w:val="22"/>
          <w:szCs w:val="22"/>
        </w:rPr>
        <w:t>jac</w:t>
      </w:r>
      <w:proofErr w:type="spellEnd"/>
      <w:r w:rsidRPr="006106EC">
        <w:rPr>
          <w:rFonts w:cs="Arial"/>
          <w:sz w:val="22"/>
          <w:szCs w:val="22"/>
        </w:rPr>
        <w:t>/47.1.43</w:t>
      </w:r>
    </w:p>
    <w:p w14:paraId="5A06F036" w14:textId="77777777" w:rsidR="006106EC" w:rsidRPr="006106EC" w:rsidRDefault="006106EC" w:rsidP="006106EC">
      <w:pPr>
        <w:rPr>
          <w:rFonts w:cs="Arial"/>
          <w:sz w:val="22"/>
          <w:szCs w:val="22"/>
        </w:rPr>
      </w:pPr>
      <w:r w:rsidRPr="006106EC">
        <w:rPr>
          <w:rFonts w:cs="Arial"/>
          <w:sz w:val="22"/>
          <w:szCs w:val="22"/>
        </w:rPr>
        <w:t>23.</w:t>
      </w:r>
      <w:r w:rsidRPr="006106EC">
        <w:rPr>
          <w:rFonts w:cs="Arial"/>
          <w:sz w:val="22"/>
          <w:szCs w:val="22"/>
        </w:rPr>
        <w:tab/>
        <w:t xml:space="preserve">Tamma PD, Avdic E, Li DX, Dzintars K, Cosgrove SE. Association of Adverse Events </w:t>
      </w:r>
      <w:proofErr w:type="gramStart"/>
      <w:r w:rsidRPr="006106EC">
        <w:rPr>
          <w:rFonts w:cs="Arial"/>
          <w:sz w:val="22"/>
          <w:szCs w:val="22"/>
        </w:rPr>
        <w:t>With</w:t>
      </w:r>
      <w:proofErr w:type="gramEnd"/>
      <w:r w:rsidRPr="006106EC">
        <w:rPr>
          <w:rFonts w:cs="Arial"/>
          <w:sz w:val="22"/>
          <w:szCs w:val="22"/>
        </w:rPr>
        <w:t xml:space="preserve"> Antibiotic Use in Hospitalized Patients. JAMA Internal Medicine. </w:t>
      </w:r>
      <w:proofErr w:type="gramStart"/>
      <w:r w:rsidRPr="006106EC">
        <w:rPr>
          <w:rFonts w:cs="Arial"/>
          <w:sz w:val="22"/>
          <w:szCs w:val="22"/>
        </w:rPr>
        <w:t>2017;</w:t>
      </w:r>
      <w:proofErr w:type="gramEnd"/>
    </w:p>
    <w:p w14:paraId="573A3071" w14:textId="77777777" w:rsidR="006106EC" w:rsidRPr="006106EC" w:rsidRDefault="006106EC" w:rsidP="006106EC">
      <w:pPr>
        <w:rPr>
          <w:rFonts w:cs="Arial"/>
          <w:sz w:val="22"/>
          <w:szCs w:val="22"/>
        </w:rPr>
      </w:pPr>
      <w:r w:rsidRPr="006106EC">
        <w:rPr>
          <w:rFonts w:cs="Arial"/>
          <w:sz w:val="22"/>
          <w:szCs w:val="22"/>
        </w:rPr>
        <w:t>24.</w:t>
      </w:r>
      <w:r w:rsidRPr="006106EC">
        <w:rPr>
          <w:rFonts w:cs="Arial"/>
          <w:sz w:val="22"/>
          <w:szCs w:val="22"/>
        </w:rPr>
        <w:tab/>
        <w:t xml:space="preserve">Vaughn VM, Gandhi TN, Hofer TP, et al. A Statewide Collaborative Quality Initiative to Improve Antibiotic Duration and Outcomes in Patients Hospitalized </w:t>
      </w:r>
      <w:proofErr w:type="gramStart"/>
      <w:r w:rsidRPr="006106EC">
        <w:rPr>
          <w:rFonts w:cs="Arial"/>
          <w:sz w:val="22"/>
          <w:szCs w:val="22"/>
        </w:rPr>
        <w:t>With</w:t>
      </w:r>
      <w:proofErr w:type="gramEnd"/>
      <w:r w:rsidRPr="006106EC">
        <w:rPr>
          <w:rFonts w:cs="Arial"/>
          <w:sz w:val="22"/>
          <w:szCs w:val="22"/>
        </w:rPr>
        <w:t xml:space="preserve"> Uncomplicated Community-Acquired Pneumonia. Clin Infect Dis. Aug 31 2022;75(3):460-467. doi:10.1093/</w:t>
      </w:r>
      <w:proofErr w:type="spellStart"/>
      <w:r w:rsidRPr="006106EC">
        <w:rPr>
          <w:rFonts w:cs="Arial"/>
          <w:sz w:val="22"/>
          <w:szCs w:val="22"/>
        </w:rPr>
        <w:t>cid</w:t>
      </w:r>
      <w:proofErr w:type="spellEnd"/>
      <w:r w:rsidRPr="006106EC">
        <w:rPr>
          <w:rFonts w:cs="Arial"/>
          <w:sz w:val="22"/>
          <w:szCs w:val="22"/>
        </w:rPr>
        <w:t>/ciab950</w:t>
      </w:r>
    </w:p>
    <w:p w14:paraId="6E613D4F" w14:textId="77777777" w:rsidR="006106EC" w:rsidRPr="006106EC" w:rsidRDefault="006106EC" w:rsidP="006106EC">
      <w:pPr>
        <w:rPr>
          <w:rFonts w:cs="Arial"/>
          <w:sz w:val="22"/>
          <w:szCs w:val="22"/>
        </w:rPr>
      </w:pPr>
      <w:r w:rsidRPr="006106EC">
        <w:rPr>
          <w:rFonts w:cs="Arial"/>
          <w:sz w:val="22"/>
          <w:szCs w:val="22"/>
        </w:rPr>
        <w:t>25.</w:t>
      </w:r>
      <w:r w:rsidRPr="006106EC">
        <w:rPr>
          <w:rFonts w:cs="Arial"/>
          <w:sz w:val="22"/>
          <w:szCs w:val="22"/>
        </w:rPr>
        <w:tab/>
      </w:r>
      <w:proofErr w:type="spellStart"/>
      <w:r w:rsidRPr="006106EC">
        <w:rPr>
          <w:rFonts w:cs="Arial"/>
          <w:sz w:val="22"/>
          <w:szCs w:val="22"/>
        </w:rPr>
        <w:t>Metlay</w:t>
      </w:r>
      <w:proofErr w:type="spellEnd"/>
      <w:r w:rsidRPr="006106EC">
        <w:rPr>
          <w:rFonts w:cs="Arial"/>
          <w:sz w:val="22"/>
          <w:szCs w:val="22"/>
        </w:rPr>
        <w:t xml:space="preserve"> JP, Waterer GW, Long AC, et al. Diagnosis and Treatment of Adults with Community-acquired Pneumonia. An Official Clinical Practice Guideline of the American Thoracic Society and Infectious Diseases Society of America. Am J Respir Crit Care Med. Oct 1 2019;200(7):e45-e67. doi:10.1164/rccm.201908-1581ST</w:t>
      </w:r>
    </w:p>
    <w:p w14:paraId="2379ECDF" w14:textId="77777777" w:rsidR="006106EC" w:rsidRPr="006106EC" w:rsidRDefault="006106EC" w:rsidP="006106EC">
      <w:pPr>
        <w:rPr>
          <w:rFonts w:cs="Arial"/>
          <w:sz w:val="22"/>
          <w:szCs w:val="22"/>
        </w:rPr>
      </w:pPr>
      <w:r w:rsidRPr="006106EC">
        <w:rPr>
          <w:rFonts w:cs="Arial"/>
          <w:sz w:val="22"/>
          <w:szCs w:val="22"/>
        </w:rPr>
        <w:t>26.</w:t>
      </w:r>
      <w:r w:rsidRPr="006106EC">
        <w:rPr>
          <w:rFonts w:cs="Arial"/>
          <w:sz w:val="22"/>
          <w:szCs w:val="22"/>
        </w:rPr>
        <w:tab/>
        <w:t xml:space="preserve">van Ast JF, Talmon JL, Renier WO, Hasman A. An approach to knowledge base construction based on expert opinions. Methods Inf Med. 2004;43(4):427-32. </w:t>
      </w:r>
    </w:p>
    <w:p w14:paraId="1780F384" w14:textId="77777777" w:rsidR="006106EC" w:rsidRPr="006106EC" w:rsidRDefault="006106EC" w:rsidP="006106EC">
      <w:pPr>
        <w:rPr>
          <w:rFonts w:cs="Arial"/>
          <w:sz w:val="22"/>
          <w:szCs w:val="22"/>
        </w:rPr>
      </w:pPr>
      <w:r w:rsidRPr="006106EC">
        <w:rPr>
          <w:rFonts w:cs="Arial"/>
          <w:sz w:val="22"/>
          <w:szCs w:val="22"/>
        </w:rPr>
        <w:t>27.</w:t>
      </w:r>
      <w:r w:rsidRPr="006106EC">
        <w:rPr>
          <w:rFonts w:cs="Arial"/>
          <w:sz w:val="22"/>
          <w:szCs w:val="22"/>
        </w:rPr>
        <w:tab/>
        <w:t>Zimmerman DW, Williams RH, Burkheimer GJ. Dependence of reliability of multiple-choice tests upon number of choices per item: prediction from the Spearman-Brown formula. Psychol Rep. Dec 1966;19(3):1239-43. doi:10.2466/pr0.1966.19.3f.1239</w:t>
      </w:r>
    </w:p>
    <w:p w14:paraId="490AD3E3" w14:textId="77777777" w:rsidR="006106EC" w:rsidRPr="006106EC" w:rsidRDefault="006106EC" w:rsidP="006106EC">
      <w:pPr>
        <w:rPr>
          <w:rFonts w:cs="Arial"/>
          <w:sz w:val="22"/>
          <w:szCs w:val="22"/>
        </w:rPr>
      </w:pPr>
      <w:r w:rsidRPr="006106EC">
        <w:rPr>
          <w:rFonts w:cs="Arial"/>
          <w:sz w:val="22"/>
          <w:szCs w:val="22"/>
        </w:rPr>
        <w:t>28.</w:t>
      </w:r>
      <w:r w:rsidRPr="006106EC">
        <w:rPr>
          <w:rFonts w:cs="Arial"/>
          <w:sz w:val="22"/>
          <w:szCs w:val="22"/>
        </w:rPr>
        <w:tab/>
        <w:t xml:space="preserve">de Vet HCW, </w:t>
      </w:r>
      <w:proofErr w:type="spellStart"/>
      <w:r w:rsidRPr="006106EC">
        <w:rPr>
          <w:rFonts w:cs="Arial"/>
          <w:sz w:val="22"/>
          <w:szCs w:val="22"/>
        </w:rPr>
        <w:t>Mokkink</w:t>
      </w:r>
      <w:proofErr w:type="spellEnd"/>
      <w:r w:rsidRPr="006106EC">
        <w:rPr>
          <w:rFonts w:cs="Arial"/>
          <w:sz w:val="22"/>
          <w:szCs w:val="22"/>
        </w:rPr>
        <w:t xml:space="preserve"> LB, </w:t>
      </w:r>
      <w:proofErr w:type="spellStart"/>
      <w:r w:rsidRPr="006106EC">
        <w:rPr>
          <w:rFonts w:cs="Arial"/>
          <w:sz w:val="22"/>
          <w:szCs w:val="22"/>
        </w:rPr>
        <w:t>Mosmuller</w:t>
      </w:r>
      <w:proofErr w:type="spellEnd"/>
      <w:r w:rsidRPr="006106EC">
        <w:rPr>
          <w:rFonts w:cs="Arial"/>
          <w:sz w:val="22"/>
          <w:szCs w:val="22"/>
        </w:rPr>
        <w:t xml:space="preserve"> DG, </w:t>
      </w:r>
      <w:proofErr w:type="spellStart"/>
      <w:r w:rsidRPr="006106EC">
        <w:rPr>
          <w:rFonts w:cs="Arial"/>
          <w:sz w:val="22"/>
          <w:szCs w:val="22"/>
        </w:rPr>
        <w:t>Terwee</w:t>
      </w:r>
      <w:proofErr w:type="spellEnd"/>
      <w:r w:rsidRPr="006106EC">
        <w:rPr>
          <w:rFonts w:cs="Arial"/>
          <w:sz w:val="22"/>
          <w:szCs w:val="22"/>
        </w:rPr>
        <w:t xml:space="preserve"> CB. Spearman-Brown prophecy formula and Cronbach's alpha: different faces of reliability and opportunities for new applications. J Clin Epidemiol. May 2017;85:45-49. doi:10.1016/j.jclinepi.2017.01.013</w:t>
      </w:r>
    </w:p>
    <w:p w14:paraId="3F6F8980" w14:textId="77777777" w:rsidR="006106EC" w:rsidRPr="006106EC" w:rsidRDefault="006106EC" w:rsidP="006106EC">
      <w:pPr>
        <w:rPr>
          <w:rFonts w:cs="Arial"/>
          <w:sz w:val="22"/>
          <w:szCs w:val="22"/>
        </w:rPr>
      </w:pPr>
      <w:r w:rsidRPr="006106EC">
        <w:rPr>
          <w:rFonts w:cs="Arial"/>
          <w:sz w:val="22"/>
          <w:szCs w:val="22"/>
        </w:rPr>
        <w:t>29.</w:t>
      </w:r>
      <w:r w:rsidRPr="006106EC">
        <w:rPr>
          <w:rFonts w:cs="Arial"/>
          <w:sz w:val="22"/>
          <w:szCs w:val="22"/>
        </w:rPr>
        <w:tab/>
        <w:t>Partnership for Quality Measurement. Percent of hospitalized pneumonia patients with chest imaging confirmation, CBE ID 4440e. Accessed 9/25/2024, https://p4qm.org/measures/4440e</w:t>
      </w:r>
    </w:p>
    <w:p w14:paraId="34FACBC4" w14:textId="77777777" w:rsidR="006106EC" w:rsidRPr="006106EC" w:rsidRDefault="006106EC" w:rsidP="006106EC">
      <w:pPr>
        <w:rPr>
          <w:rFonts w:cs="Arial"/>
          <w:sz w:val="22"/>
          <w:szCs w:val="22"/>
        </w:rPr>
      </w:pPr>
      <w:r w:rsidRPr="006106EC">
        <w:rPr>
          <w:rFonts w:cs="Arial"/>
          <w:sz w:val="22"/>
          <w:szCs w:val="22"/>
        </w:rPr>
        <w:t>30.</w:t>
      </w:r>
      <w:r w:rsidRPr="006106EC">
        <w:rPr>
          <w:rFonts w:cs="Arial"/>
          <w:sz w:val="22"/>
          <w:szCs w:val="22"/>
        </w:rPr>
        <w:tab/>
        <w:t>Partnership for Quality Measurement. Inappropriate diagnosis of community-acquired pneumonia (CAP) in hospitalized medical patients, CBE ID 3671. Accessed 9/24/2024, https://p4qm.org/measures/3671</w:t>
      </w:r>
    </w:p>
    <w:p w14:paraId="1467F6FF" w14:textId="77777777" w:rsidR="006106EC" w:rsidRPr="006106EC" w:rsidRDefault="006106EC" w:rsidP="006106EC">
      <w:pPr>
        <w:rPr>
          <w:rFonts w:cs="Arial"/>
          <w:sz w:val="22"/>
          <w:szCs w:val="22"/>
        </w:rPr>
      </w:pPr>
      <w:r w:rsidRPr="006106EC">
        <w:rPr>
          <w:rFonts w:cs="Arial"/>
          <w:sz w:val="22"/>
          <w:szCs w:val="22"/>
        </w:rPr>
        <w:t>31.</w:t>
      </w:r>
      <w:r w:rsidRPr="006106EC">
        <w:rPr>
          <w:rFonts w:cs="Arial"/>
          <w:sz w:val="22"/>
          <w:szCs w:val="22"/>
        </w:rPr>
        <w:tab/>
        <w:t>The Joint Commission. Specifications manual for Joint Commission National Quality Measures (v2015A): Pneumonia (PN). Accessed 9/25/2024, https://manual.jointcommission.org/releases/TJC2015A/Pneumonia.html#A_42Pneumonia_40PN_41_Initial_Patient_Population_42</w:t>
      </w:r>
    </w:p>
    <w:p w14:paraId="737B517A" w14:textId="77777777" w:rsidR="006106EC" w:rsidRPr="006106EC" w:rsidRDefault="006106EC" w:rsidP="006106EC">
      <w:pPr>
        <w:rPr>
          <w:rFonts w:cs="Arial"/>
          <w:sz w:val="22"/>
          <w:szCs w:val="22"/>
        </w:rPr>
      </w:pPr>
      <w:r w:rsidRPr="006106EC">
        <w:rPr>
          <w:rFonts w:cs="Arial"/>
          <w:sz w:val="22"/>
          <w:szCs w:val="22"/>
        </w:rPr>
        <w:t>32.</w:t>
      </w:r>
      <w:r w:rsidRPr="006106EC">
        <w:rPr>
          <w:rFonts w:cs="Arial"/>
          <w:sz w:val="22"/>
          <w:szCs w:val="22"/>
        </w:rPr>
        <w:tab/>
        <w:t>Kazakova SV, Baggs J, McDonald LC, et al. Association Between Antibiotic Use and Hospital-onset Clostridioides difficile Infection in US Acute Care Hospitals, 2006-2012: An Ecologic Analysis. Clin Infect Dis. Jan 1 2020;70(1):11-18. doi:10.1093/</w:t>
      </w:r>
      <w:proofErr w:type="spellStart"/>
      <w:r w:rsidRPr="006106EC">
        <w:rPr>
          <w:rFonts w:cs="Arial"/>
          <w:sz w:val="22"/>
          <w:szCs w:val="22"/>
        </w:rPr>
        <w:t>cid</w:t>
      </w:r>
      <w:proofErr w:type="spellEnd"/>
      <w:r w:rsidRPr="006106EC">
        <w:rPr>
          <w:rFonts w:cs="Arial"/>
          <w:sz w:val="22"/>
          <w:szCs w:val="22"/>
        </w:rPr>
        <w:t>/ciz169</w:t>
      </w:r>
    </w:p>
    <w:p w14:paraId="5CF1A20A" w14:textId="77777777" w:rsidR="006106EC" w:rsidRPr="006106EC" w:rsidRDefault="006106EC" w:rsidP="006106EC">
      <w:pPr>
        <w:rPr>
          <w:rFonts w:cs="Arial"/>
          <w:sz w:val="22"/>
          <w:szCs w:val="22"/>
        </w:rPr>
      </w:pPr>
      <w:r w:rsidRPr="006106EC">
        <w:rPr>
          <w:rFonts w:cs="Arial"/>
          <w:sz w:val="22"/>
          <w:szCs w:val="22"/>
        </w:rPr>
        <w:t>33.</w:t>
      </w:r>
      <w:r w:rsidRPr="006106EC">
        <w:rPr>
          <w:rFonts w:cs="Arial"/>
          <w:sz w:val="22"/>
          <w:szCs w:val="22"/>
        </w:rPr>
        <w:tab/>
        <w:t xml:space="preserve">Branch-Elliman W, O'Brien W, </w:t>
      </w:r>
      <w:proofErr w:type="spellStart"/>
      <w:r w:rsidRPr="006106EC">
        <w:rPr>
          <w:rFonts w:cs="Arial"/>
          <w:sz w:val="22"/>
          <w:szCs w:val="22"/>
        </w:rPr>
        <w:t>Strymish</w:t>
      </w:r>
      <w:proofErr w:type="spellEnd"/>
      <w:r w:rsidRPr="006106EC">
        <w:rPr>
          <w:rFonts w:cs="Arial"/>
          <w:sz w:val="22"/>
          <w:szCs w:val="22"/>
        </w:rPr>
        <w:t xml:space="preserve"> J, Itani K, Wyatt C, Gupta K. Association of Duration and Type of Surgical Prophylaxis </w:t>
      </w:r>
      <w:proofErr w:type="gramStart"/>
      <w:r w:rsidRPr="006106EC">
        <w:rPr>
          <w:rFonts w:cs="Arial"/>
          <w:sz w:val="22"/>
          <w:szCs w:val="22"/>
        </w:rPr>
        <w:t>With</w:t>
      </w:r>
      <w:proofErr w:type="gramEnd"/>
      <w:r w:rsidRPr="006106EC">
        <w:rPr>
          <w:rFonts w:cs="Arial"/>
          <w:sz w:val="22"/>
          <w:szCs w:val="22"/>
        </w:rPr>
        <w:t xml:space="preserve"> Antimicrobial-Associated Adverse Events. JAMA Surg. Jul 1 2019;154(7):590-598. doi:10.1001/jamasurg.2019.0569</w:t>
      </w:r>
    </w:p>
    <w:p w14:paraId="3CE2490D" w14:textId="77777777" w:rsidR="006106EC" w:rsidRPr="006106EC" w:rsidRDefault="006106EC" w:rsidP="006106EC">
      <w:pPr>
        <w:rPr>
          <w:rFonts w:cs="Arial"/>
          <w:sz w:val="22"/>
          <w:szCs w:val="22"/>
        </w:rPr>
      </w:pPr>
      <w:r w:rsidRPr="006106EC">
        <w:rPr>
          <w:rFonts w:cs="Arial"/>
          <w:sz w:val="22"/>
          <w:szCs w:val="22"/>
        </w:rPr>
        <w:t>34.</w:t>
      </w:r>
      <w:r w:rsidRPr="006106EC">
        <w:rPr>
          <w:rFonts w:cs="Arial"/>
          <w:sz w:val="22"/>
          <w:szCs w:val="22"/>
        </w:rPr>
        <w:tab/>
        <w:t xml:space="preserve">Brown KA, Fisman DN, </w:t>
      </w:r>
      <w:proofErr w:type="spellStart"/>
      <w:r w:rsidRPr="006106EC">
        <w:rPr>
          <w:rFonts w:cs="Arial"/>
          <w:sz w:val="22"/>
          <w:szCs w:val="22"/>
        </w:rPr>
        <w:t>Moineddin</w:t>
      </w:r>
      <w:proofErr w:type="spellEnd"/>
      <w:r w:rsidRPr="006106EC">
        <w:rPr>
          <w:rFonts w:cs="Arial"/>
          <w:sz w:val="22"/>
          <w:szCs w:val="22"/>
        </w:rPr>
        <w:t xml:space="preserve"> R, Daneman N. The magnitude and duration of Clostridium difficile infection risk associated with antibiotic therapy: a hospital cohort study. </w:t>
      </w:r>
      <w:proofErr w:type="spellStart"/>
      <w:r w:rsidRPr="006106EC">
        <w:rPr>
          <w:rFonts w:cs="Arial"/>
          <w:sz w:val="22"/>
          <w:szCs w:val="22"/>
        </w:rPr>
        <w:t>PLoS</w:t>
      </w:r>
      <w:proofErr w:type="spellEnd"/>
      <w:r w:rsidRPr="006106EC">
        <w:rPr>
          <w:rFonts w:cs="Arial"/>
          <w:sz w:val="22"/>
          <w:szCs w:val="22"/>
        </w:rPr>
        <w:t xml:space="preserve"> One. 2014;9(8):e105454. doi:10.1371/journal.pone.0105454</w:t>
      </w:r>
    </w:p>
    <w:p w14:paraId="50195562" w14:textId="77777777" w:rsidR="006106EC" w:rsidRPr="006106EC" w:rsidRDefault="006106EC" w:rsidP="006106EC">
      <w:pPr>
        <w:rPr>
          <w:rFonts w:cs="Arial"/>
          <w:sz w:val="22"/>
          <w:szCs w:val="22"/>
        </w:rPr>
      </w:pPr>
      <w:r w:rsidRPr="006106EC">
        <w:rPr>
          <w:rFonts w:cs="Arial"/>
          <w:sz w:val="22"/>
          <w:szCs w:val="22"/>
        </w:rPr>
        <w:t>35.</w:t>
      </w:r>
      <w:r w:rsidRPr="006106EC">
        <w:rPr>
          <w:rFonts w:cs="Arial"/>
          <w:sz w:val="22"/>
          <w:szCs w:val="22"/>
        </w:rPr>
        <w:tab/>
        <w:t xml:space="preserve">Russo TA, </w:t>
      </w:r>
      <w:proofErr w:type="spellStart"/>
      <w:r w:rsidRPr="006106EC">
        <w:rPr>
          <w:rFonts w:cs="Arial"/>
          <w:sz w:val="22"/>
          <w:szCs w:val="22"/>
        </w:rPr>
        <w:t>Spellberg</w:t>
      </w:r>
      <w:proofErr w:type="spellEnd"/>
      <w:r w:rsidRPr="006106EC">
        <w:rPr>
          <w:rFonts w:cs="Arial"/>
          <w:sz w:val="22"/>
          <w:szCs w:val="22"/>
        </w:rPr>
        <w:t xml:space="preserve"> B, Johnson JR. Important Complexities of the </w:t>
      </w:r>
      <w:proofErr w:type="spellStart"/>
      <w:r w:rsidRPr="006106EC">
        <w:rPr>
          <w:rFonts w:cs="Arial"/>
          <w:sz w:val="22"/>
          <w:szCs w:val="22"/>
        </w:rPr>
        <w:t>Antivirulence</w:t>
      </w:r>
      <w:proofErr w:type="spellEnd"/>
      <w:r w:rsidRPr="006106EC">
        <w:rPr>
          <w:rFonts w:cs="Arial"/>
          <w:sz w:val="22"/>
          <w:szCs w:val="22"/>
        </w:rPr>
        <w:t xml:space="preserve"> Target Paradigm: A Novel Ostensibly Resistance-Avoiding Approach for Treating Infections. J Infect Dis. Mar 15 2016;213(6):901-3. doi:10.1093/</w:t>
      </w:r>
      <w:proofErr w:type="spellStart"/>
      <w:r w:rsidRPr="006106EC">
        <w:rPr>
          <w:rFonts w:cs="Arial"/>
          <w:sz w:val="22"/>
          <w:szCs w:val="22"/>
        </w:rPr>
        <w:t>infdis</w:t>
      </w:r>
      <w:proofErr w:type="spellEnd"/>
      <w:r w:rsidRPr="006106EC">
        <w:rPr>
          <w:rFonts w:cs="Arial"/>
          <w:sz w:val="22"/>
          <w:szCs w:val="22"/>
        </w:rPr>
        <w:t>/jiv533</w:t>
      </w:r>
    </w:p>
    <w:p w14:paraId="76ED6C63" w14:textId="77777777" w:rsidR="006106EC" w:rsidRPr="006106EC" w:rsidRDefault="006106EC" w:rsidP="006106EC">
      <w:pPr>
        <w:rPr>
          <w:rFonts w:cs="Arial"/>
          <w:sz w:val="22"/>
          <w:szCs w:val="22"/>
        </w:rPr>
      </w:pPr>
      <w:r w:rsidRPr="006106EC">
        <w:rPr>
          <w:rFonts w:cs="Arial"/>
          <w:sz w:val="22"/>
          <w:szCs w:val="22"/>
        </w:rPr>
        <w:t>36.</w:t>
      </w:r>
      <w:r w:rsidRPr="006106EC">
        <w:rPr>
          <w:rFonts w:cs="Arial"/>
          <w:sz w:val="22"/>
          <w:szCs w:val="22"/>
        </w:rPr>
        <w:tab/>
        <w:t xml:space="preserve">Curran J, Lo J, Leung V, et al. Estimating daily antibiotic harms: an umbrella review with individual study meta-analysis. Clin </w:t>
      </w:r>
      <w:proofErr w:type="spellStart"/>
      <w:r w:rsidRPr="006106EC">
        <w:rPr>
          <w:rFonts w:cs="Arial"/>
          <w:sz w:val="22"/>
          <w:szCs w:val="22"/>
        </w:rPr>
        <w:t>Microbiol</w:t>
      </w:r>
      <w:proofErr w:type="spellEnd"/>
      <w:r w:rsidRPr="006106EC">
        <w:rPr>
          <w:rFonts w:cs="Arial"/>
          <w:sz w:val="22"/>
          <w:szCs w:val="22"/>
        </w:rPr>
        <w:t xml:space="preserve"> Infect. Apr 2022;28(4):479-490. doi:10.1016/j.cmi.2021.10.022</w:t>
      </w:r>
    </w:p>
    <w:p w14:paraId="0D63FF5D" w14:textId="77777777" w:rsidR="006106EC" w:rsidRPr="006106EC" w:rsidRDefault="006106EC" w:rsidP="006106EC">
      <w:pPr>
        <w:rPr>
          <w:rFonts w:cs="Arial"/>
          <w:sz w:val="22"/>
          <w:szCs w:val="22"/>
        </w:rPr>
      </w:pPr>
      <w:r w:rsidRPr="006106EC">
        <w:rPr>
          <w:rFonts w:cs="Arial"/>
          <w:sz w:val="22"/>
          <w:szCs w:val="22"/>
        </w:rPr>
        <w:lastRenderedPageBreak/>
        <w:t>37.</w:t>
      </w:r>
      <w:r w:rsidRPr="006106EC">
        <w:rPr>
          <w:rFonts w:cs="Arial"/>
          <w:sz w:val="22"/>
          <w:szCs w:val="22"/>
        </w:rPr>
        <w:tab/>
        <w:t>Poku E, Cooper K, Cantrell A, et al. Systematic review of time lag between antibiotic use and rise of resistant pathogens among hospitalized adults in Europe. JAC Antimicrob Resist. Feb 2023;5(1):dlad001. doi:10.1093/</w:t>
      </w:r>
      <w:proofErr w:type="spellStart"/>
      <w:r w:rsidRPr="006106EC">
        <w:rPr>
          <w:rFonts w:cs="Arial"/>
          <w:sz w:val="22"/>
          <w:szCs w:val="22"/>
        </w:rPr>
        <w:t>jacamr</w:t>
      </w:r>
      <w:proofErr w:type="spellEnd"/>
      <w:r w:rsidRPr="006106EC">
        <w:rPr>
          <w:rFonts w:cs="Arial"/>
          <w:sz w:val="22"/>
          <w:szCs w:val="22"/>
        </w:rPr>
        <w:t>/dlad001</w:t>
      </w:r>
    </w:p>
    <w:p w14:paraId="50484DC1" w14:textId="77777777" w:rsidR="006106EC" w:rsidRPr="006106EC" w:rsidRDefault="006106EC" w:rsidP="006106EC">
      <w:pPr>
        <w:rPr>
          <w:rFonts w:cs="Arial"/>
          <w:sz w:val="22"/>
          <w:szCs w:val="22"/>
        </w:rPr>
      </w:pPr>
      <w:r w:rsidRPr="006106EC">
        <w:rPr>
          <w:rFonts w:cs="Arial"/>
          <w:sz w:val="22"/>
          <w:szCs w:val="22"/>
        </w:rPr>
        <w:t>38.</w:t>
      </w:r>
      <w:r w:rsidRPr="006106EC">
        <w:rPr>
          <w:rFonts w:cs="Arial"/>
          <w:sz w:val="22"/>
          <w:szCs w:val="22"/>
        </w:rPr>
        <w:tab/>
      </w:r>
      <w:proofErr w:type="spellStart"/>
      <w:r w:rsidRPr="006106EC">
        <w:rPr>
          <w:rFonts w:cs="Arial"/>
          <w:sz w:val="22"/>
          <w:szCs w:val="22"/>
        </w:rPr>
        <w:t>Spellberg</w:t>
      </w:r>
      <w:proofErr w:type="spellEnd"/>
      <w:r w:rsidRPr="006106EC">
        <w:rPr>
          <w:rFonts w:cs="Arial"/>
          <w:sz w:val="22"/>
          <w:szCs w:val="22"/>
        </w:rPr>
        <w:t xml:space="preserve"> B. The new antibiotic mantra—“shorter is better”. JAMA internal medicine. 2016;176(9):1254-1255. </w:t>
      </w:r>
    </w:p>
    <w:p w14:paraId="00DBBD15" w14:textId="77777777" w:rsidR="006106EC" w:rsidRPr="006106EC" w:rsidRDefault="006106EC" w:rsidP="006106EC">
      <w:pPr>
        <w:rPr>
          <w:rFonts w:cs="Arial"/>
          <w:sz w:val="22"/>
          <w:szCs w:val="22"/>
        </w:rPr>
      </w:pPr>
      <w:r w:rsidRPr="006106EC">
        <w:rPr>
          <w:rFonts w:cs="Arial"/>
          <w:sz w:val="22"/>
          <w:szCs w:val="22"/>
        </w:rPr>
        <w:t>39.</w:t>
      </w:r>
      <w:r w:rsidRPr="006106EC">
        <w:rPr>
          <w:rFonts w:cs="Arial"/>
          <w:sz w:val="22"/>
          <w:szCs w:val="22"/>
        </w:rPr>
        <w:tab/>
        <w:t>Madaras-Kelly KJ, Burk M, Caplinger C, et al. Total duration of antimicrobial therapy in veterans hospitalized with uncomplicated pneumonia: Results of a national medication utilization evaluation. Journal of hospital medicine. Dec 2016;11(12):832-839. doi:10.1002/jhm.2648</w:t>
      </w:r>
    </w:p>
    <w:p w14:paraId="08F18B8D" w14:textId="77777777" w:rsidR="006106EC" w:rsidRPr="006106EC" w:rsidRDefault="006106EC" w:rsidP="006106EC">
      <w:pPr>
        <w:rPr>
          <w:rFonts w:cs="Arial"/>
          <w:sz w:val="22"/>
          <w:szCs w:val="22"/>
        </w:rPr>
      </w:pPr>
      <w:r w:rsidRPr="006106EC">
        <w:rPr>
          <w:rFonts w:cs="Arial"/>
          <w:sz w:val="22"/>
          <w:szCs w:val="22"/>
        </w:rPr>
        <w:t>40.</w:t>
      </w:r>
      <w:r w:rsidRPr="006106EC">
        <w:rPr>
          <w:rFonts w:cs="Arial"/>
          <w:sz w:val="22"/>
          <w:szCs w:val="22"/>
        </w:rPr>
        <w:tab/>
        <w:t>Weber BR, Noble BN, Bearden DT, et al. Antibiotic prescribing upon discharge from the hospital to long-term care facilities: Implications for antimicrobial stewardship requirements in post-acute settings. Infect Control Hosp Epidemiol. Jan 2019;40(1):18-23. doi:10.1017/ice.2018.288</w:t>
      </w:r>
    </w:p>
    <w:p w14:paraId="35834730" w14:textId="77777777" w:rsidR="006106EC" w:rsidRPr="006106EC" w:rsidRDefault="006106EC" w:rsidP="006106EC">
      <w:pPr>
        <w:rPr>
          <w:rFonts w:cs="Arial"/>
          <w:sz w:val="22"/>
          <w:szCs w:val="22"/>
        </w:rPr>
      </w:pPr>
      <w:r w:rsidRPr="006106EC">
        <w:rPr>
          <w:rFonts w:cs="Arial"/>
          <w:sz w:val="22"/>
          <w:szCs w:val="22"/>
        </w:rPr>
        <w:t>41.</w:t>
      </w:r>
      <w:r w:rsidRPr="006106EC">
        <w:rPr>
          <w:rFonts w:cs="Arial"/>
          <w:sz w:val="22"/>
          <w:szCs w:val="22"/>
        </w:rPr>
        <w:tab/>
        <w:t xml:space="preserve">Low M, Neuberger A, Hooton TM, et al. Association between urinary community-acquired fluoroquinolone-resistant Escherichia coli and </w:t>
      </w:r>
      <w:proofErr w:type="spellStart"/>
      <w:r w:rsidRPr="006106EC">
        <w:rPr>
          <w:rFonts w:cs="Arial"/>
          <w:sz w:val="22"/>
          <w:szCs w:val="22"/>
        </w:rPr>
        <w:t>neighbourhood</w:t>
      </w:r>
      <w:proofErr w:type="spellEnd"/>
      <w:r w:rsidRPr="006106EC">
        <w:rPr>
          <w:rFonts w:cs="Arial"/>
          <w:sz w:val="22"/>
          <w:szCs w:val="22"/>
        </w:rPr>
        <w:t xml:space="preserve"> antibiotic consumption: a population-based case-control study. Lancet Infect Dis. Apr 2019;19(4):419-428. doi:10.1016/S1473-3099(18)30676-5</w:t>
      </w:r>
    </w:p>
    <w:p w14:paraId="084ECCCD" w14:textId="77777777" w:rsidR="006106EC" w:rsidRPr="006106EC" w:rsidRDefault="006106EC" w:rsidP="006106EC">
      <w:pPr>
        <w:rPr>
          <w:rFonts w:cs="Arial"/>
          <w:sz w:val="22"/>
          <w:szCs w:val="22"/>
        </w:rPr>
      </w:pPr>
      <w:r w:rsidRPr="006106EC">
        <w:rPr>
          <w:rFonts w:cs="Arial"/>
          <w:sz w:val="22"/>
          <w:szCs w:val="22"/>
        </w:rPr>
        <w:t>42.</w:t>
      </w:r>
      <w:r w:rsidRPr="006106EC">
        <w:rPr>
          <w:rFonts w:cs="Arial"/>
          <w:sz w:val="22"/>
          <w:szCs w:val="22"/>
        </w:rPr>
        <w:tab/>
        <w:t>Gandhi T, Petty L, Vaughn V, et al. Risk Factors and outcomes associated with inappropriate empiric broad-spectrum antibiotic use in hospitalized patients with community-acquired pneumonia. Antimicrobial Stewardship &amp; Healthcare Epidemiology. 2023;3(S2):s31-s32. doi:10.1017/ash.2023.258</w:t>
      </w:r>
    </w:p>
    <w:p w14:paraId="521393DC" w14:textId="77777777" w:rsidR="006106EC" w:rsidRPr="006106EC" w:rsidRDefault="006106EC" w:rsidP="006106EC">
      <w:pPr>
        <w:rPr>
          <w:rFonts w:cs="Arial"/>
          <w:sz w:val="22"/>
          <w:szCs w:val="22"/>
        </w:rPr>
      </w:pPr>
      <w:r w:rsidRPr="006106EC">
        <w:rPr>
          <w:rFonts w:cs="Arial"/>
          <w:sz w:val="22"/>
          <w:szCs w:val="22"/>
        </w:rPr>
        <w:t>43.</w:t>
      </w:r>
      <w:r w:rsidRPr="006106EC">
        <w:rPr>
          <w:rFonts w:cs="Arial"/>
          <w:sz w:val="22"/>
          <w:szCs w:val="22"/>
        </w:rPr>
        <w:tab/>
        <w:t xml:space="preserve">Graber CJ, Jones MM, Goetz MB, et al. Decreases in Antimicrobial Use Associated </w:t>
      </w:r>
      <w:proofErr w:type="gramStart"/>
      <w:r w:rsidRPr="006106EC">
        <w:rPr>
          <w:rFonts w:cs="Arial"/>
          <w:sz w:val="22"/>
          <w:szCs w:val="22"/>
        </w:rPr>
        <w:t>With</w:t>
      </w:r>
      <w:proofErr w:type="gramEnd"/>
      <w:r w:rsidRPr="006106EC">
        <w:rPr>
          <w:rFonts w:cs="Arial"/>
          <w:sz w:val="22"/>
          <w:szCs w:val="22"/>
        </w:rPr>
        <w:t xml:space="preserve"> Multihospital Implementation of Electronic Antimicrobial Stewardship Tools. Clin Infect Dis. Aug 22 2020;71(5):1168-1176. doi:10.1093/</w:t>
      </w:r>
      <w:proofErr w:type="spellStart"/>
      <w:r w:rsidRPr="006106EC">
        <w:rPr>
          <w:rFonts w:cs="Arial"/>
          <w:sz w:val="22"/>
          <w:szCs w:val="22"/>
        </w:rPr>
        <w:t>cid</w:t>
      </w:r>
      <w:proofErr w:type="spellEnd"/>
      <w:r w:rsidRPr="006106EC">
        <w:rPr>
          <w:rFonts w:cs="Arial"/>
          <w:sz w:val="22"/>
          <w:szCs w:val="22"/>
        </w:rPr>
        <w:t>/ciz941</w:t>
      </w:r>
    </w:p>
    <w:p w14:paraId="541C5263" w14:textId="77777777" w:rsidR="006106EC" w:rsidRPr="006106EC" w:rsidRDefault="006106EC" w:rsidP="006106EC">
      <w:pPr>
        <w:rPr>
          <w:rFonts w:cs="Arial"/>
          <w:sz w:val="22"/>
          <w:szCs w:val="22"/>
        </w:rPr>
      </w:pPr>
      <w:r w:rsidRPr="006106EC">
        <w:rPr>
          <w:rFonts w:cs="Arial"/>
          <w:sz w:val="22"/>
          <w:szCs w:val="22"/>
        </w:rPr>
        <w:t>44.</w:t>
      </w:r>
      <w:r w:rsidRPr="006106EC">
        <w:rPr>
          <w:rFonts w:cs="Arial"/>
          <w:sz w:val="22"/>
          <w:szCs w:val="22"/>
        </w:rPr>
        <w:tab/>
        <w:t xml:space="preserve">Kelly AA, Jones MM, Echevarria KL, et al. A Report </w:t>
      </w:r>
      <w:proofErr w:type="gramStart"/>
      <w:r w:rsidRPr="006106EC">
        <w:rPr>
          <w:rFonts w:cs="Arial"/>
          <w:sz w:val="22"/>
          <w:szCs w:val="22"/>
        </w:rPr>
        <w:t>of</w:t>
      </w:r>
      <w:proofErr w:type="gramEnd"/>
      <w:r w:rsidRPr="006106EC">
        <w:rPr>
          <w:rFonts w:cs="Arial"/>
          <w:sz w:val="22"/>
          <w:szCs w:val="22"/>
        </w:rPr>
        <w:t xml:space="preserve"> the Efforts of the Veterans Health Administration National Antimicrobial Stewardship Initiative. Infect Control Hosp Epidemiol. May 2017;38(5):513-520. doi:10.1017/ice.2016.328</w:t>
      </w:r>
    </w:p>
    <w:p w14:paraId="5D917648" w14:textId="77777777" w:rsidR="006106EC" w:rsidRPr="006106EC" w:rsidRDefault="006106EC" w:rsidP="006106EC">
      <w:pPr>
        <w:rPr>
          <w:rFonts w:cs="Arial"/>
          <w:sz w:val="22"/>
          <w:szCs w:val="22"/>
        </w:rPr>
      </w:pPr>
      <w:r w:rsidRPr="006106EC">
        <w:rPr>
          <w:rFonts w:cs="Arial"/>
          <w:sz w:val="22"/>
          <w:szCs w:val="22"/>
        </w:rPr>
        <w:t>45.</w:t>
      </w:r>
      <w:r w:rsidRPr="006106EC">
        <w:rPr>
          <w:rFonts w:cs="Arial"/>
          <w:sz w:val="22"/>
          <w:szCs w:val="22"/>
        </w:rPr>
        <w:tab/>
        <w:t>Goetz MB, Willson T, Rubin MA, Stevens VW, Graber CJ. Antimicrobial use before and during COVID-19: data from 108 Veterans Affairs medical centers. Antimicrobial Stewardship &amp; Healthcare Epidemiology. 2024;4(1):e109. e109. doi:10.1017/ash.2024.352</w:t>
      </w:r>
    </w:p>
    <w:p w14:paraId="30738B96" w14:textId="77777777" w:rsidR="006106EC" w:rsidRPr="006106EC" w:rsidRDefault="006106EC" w:rsidP="006106EC">
      <w:pPr>
        <w:rPr>
          <w:rFonts w:cs="Arial"/>
          <w:sz w:val="22"/>
          <w:szCs w:val="22"/>
        </w:rPr>
      </w:pPr>
      <w:r w:rsidRPr="006106EC">
        <w:rPr>
          <w:rFonts w:cs="Arial"/>
          <w:sz w:val="22"/>
          <w:szCs w:val="22"/>
        </w:rPr>
        <w:t>46.</w:t>
      </w:r>
      <w:r w:rsidRPr="006106EC">
        <w:rPr>
          <w:rFonts w:cs="Arial"/>
          <w:sz w:val="22"/>
          <w:szCs w:val="22"/>
        </w:rPr>
        <w:tab/>
        <w:t xml:space="preserve">Ciarkowski CE, Timbrook TT, </w:t>
      </w:r>
      <w:proofErr w:type="spellStart"/>
      <w:r w:rsidRPr="006106EC">
        <w:rPr>
          <w:rFonts w:cs="Arial"/>
          <w:sz w:val="22"/>
          <w:szCs w:val="22"/>
        </w:rPr>
        <w:t>Kukhareva</w:t>
      </w:r>
      <w:proofErr w:type="spellEnd"/>
      <w:r w:rsidRPr="006106EC">
        <w:rPr>
          <w:rFonts w:cs="Arial"/>
          <w:sz w:val="22"/>
          <w:szCs w:val="22"/>
        </w:rPr>
        <w:t xml:space="preserve"> PV, et al. A Pathway for Community-Acquired Pneumonia </w:t>
      </w:r>
      <w:proofErr w:type="gramStart"/>
      <w:r w:rsidRPr="006106EC">
        <w:rPr>
          <w:rFonts w:cs="Arial"/>
          <w:sz w:val="22"/>
          <w:szCs w:val="22"/>
        </w:rPr>
        <w:t>With</w:t>
      </w:r>
      <w:proofErr w:type="gramEnd"/>
      <w:r w:rsidRPr="006106EC">
        <w:rPr>
          <w:rFonts w:cs="Arial"/>
          <w:sz w:val="22"/>
          <w:szCs w:val="22"/>
        </w:rPr>
        <w:t xml:space="preserve"> Rapid Conversion to Oral Therapy Improves Health Care Value. Open Forum Infect Dis. Nov 2020;7(11):ofaa497. doi:10.1093/</w:t>
      </w:r>
      <w:proofErr w:type="spellStart"/>
      <w:r w:rsidRPr="006106EC">
        <w:rPr>
          <w:rFonts w:cs="Arial"/>
          <w:sz w:val="22"/>
          <w:szCs w:val="22"/>
        </w:rPr>
        <w:t>ofid</w:t>
      </w:r>
      <w:proofErr w:type="spellEnd"/>
      <w:r w:rsidRPr="006106EC">
        <w:rPr>
          <w:rFonts w:cs="Arial"/>
          <w:sz w:val="22"/>
          <w:szCs w:val="22"/>
        </w:rPr>
        <w:t>/ofaa497</w:t>
      </w:r>
    </w:p>
    <w:p w14:paraId="5BBED4C1" w14:textId="77777777" w:rsidR="006106EC" w:rsidRPr="006106EC" w:rsidRDefault="006106EC" w:rsidP="006106EC">
      <w:pPr>
        <w:rPr>
          <w:rFonts w:cs="Arial"/>
          <w:sz w:val="22"/>
          <w:szCs w:val="22"/>
        </w:rPr>
      </w:pPr>
      <w:r w:rsidRPr="006106EC">
        <w:rPr>
          <w:rFonts w:cs="Arial"/>
          <w:sz w:val="22"/>
          <w:szCs w:val="22"/>
        </w:rPr>
        <w:t>47.</w:t>
      </w:r>
      <w:r w:rsidRPr="006106EC">
        <w:rPr>
          <w:rFonts w:cs="Arial"/>
          <w:sz w:val="22"/>
          <w:szCs w:val="22"/>
        </w:rPr>
        <w:tab/>
        <w:t>Shorr AF, Owens RC, Jr. Guidelines and quality for community-acquired pneumonia: measures from the Joint Commission and the Centers for Medicare and Medicaid Services. American journal of health-system pharmacy. Jun 15 2009;66(12 Suppl 4):S2-7. doi:10.2146/090087a</w:t>
      </w:r>
    </w:p>
    <w:p w14:paraId="42F4D318" w14:textId="77777777" w:rsidR="006106EC" w:rsidRPr="006106EC" w:rsidRDefault="006106EC" w:rsidP="006106EC">
      <w:pPr>
        <w:rPr>
          <w:rFonts w:cs="Arial"/>
          <w:sz w:val="22"/>
          <w:szCs w:val="22"/>
        </w:rPr>
      </w:pPr>
      <w:r w:rsidRPr="006106EC">
        <w:rPr>
          <w:rFonts w:cs="Arial"/>
          <w:sz w:val="22"/>
          <w:szCs w:val="22"/>
        </w:rPr>
        <w:t>48.</w:t>
      </w:r>
      <w:r w:rsidRPr="006106EC">
        <w:rPr>
          <w:rFonts w:cs="Arial"/>
          <w:sz w:val="22"/>
          <w:szCs w:val="22"/>
        </w:rPr>
        <w:tab/>
        <w:t>Centers for Medicare and Medicaid. Merit-Based Incentive Payment System (MIPS): Simple Pneumonia with Hospitalization Measure, 2020 performance period. Accessed 9/27/2024, https://qpp.cms.gov/docs/cost_specifications/2019-12-17-mif-ebcm-pna-hosp.pdf</w:t>
      </w:r>
    </w:p>
    <w:p w14:paraId="45531789" w14:textId="77777777" w:rsidR="006106EC" w:rsidRPr="006106EC" w:rsidRDefault="006106EC" w:rsidP="006106EC">
      <w:pPr>
        <w:rPr>
          <w:rFonts w:cs="Arial"/>
          <w:sz w:val="22"/>
          <w:szCs w:val="22"/>
        </w:rPr>
      </w:pPr>
      <w:r w:rsidRPr="006106EC">
        <w:rPr>
          <w:rFonts w:cs="Arial"/>
          <w:sz w:val="22"/>
          <w:szCs w:val="22"/>
        </w:rPr>
        <w:t>49.</w:t>
      </w:r>
      <w:r w:rsidRPr="006106EC">
        <w:rPr>
          <w:rFonts w:cs="Arial"/>
          <w:sz w:val="22"/>
          <w:szCs w:val="22"/>
        </w:rPr>
        <w:tab/>
        <w:t>Centers for Medicare &amp; Medicaid Services. Quality ID #111: Pneumococcal vaccination status for older adults. . Accessed 9/27/2024, https://qpp.cms.gov/docs/QPP_quality_measure_specifications/CQM-Measures/2023_Measure_111_MedicarePartBClaims.pdf</w:t>
      </w:r>
    </w:p>
    <w:p w14:paraId="1FBAB81D" w14:textId="77777777" w:rsidR="006106EC" w:rsidRPr="006106EC" w:rsidRDefault="006106EC" w:rsidP="006106EC">
      <w:pPr>
        <w:rPr>
          <w:rFonts w:cs="Arial"/>
          <w:sz w:val="22"/>
          <w:szCs w:val="22"/>
        </w:rPr>
      </w:pPr>
      <w:r w:rsidRPr="006106EC">
        <w:rPr>
          <w:rFonts w:cs="Arial"/>
          <w:sz w:val="22"/>
          <w:szCs w:val="22"/>
        </w:rPr>
        <w:t>50.</w:t>
      </w:r>
      <w:r w:rsidRPr="006106EC">
        <w:rPr>
          <w:rFonts w:cs="Arial"/>
          <w:sz w:val="22"/>
          <w:szCs w:val="22"/>
        </w:rPr>
        <w:tab/>
        <w:t>Centers for Medicare &amp; Medicaid Services. Eligible Hospital / Critical Access Hospital eCQMs: hospital quality reporting table of eCQMs. Accessed 9/27/2024, https://ecqi.healthit.gov/sites/default/files/Hybrid-EH-CAH-MeasuresTable-2023-11.pdf</w:t>
      </w:r>
    </w:p>
    <w:p w14:paraId="5936061A" w14:textId="77777777" w:rsidR="006106EC" w:rsidRPr="006106EC" w:rsidRDefault="006106EC" w:rsidP="006106EC">
      <w:pPr>
        <w:rPr>
          <w:rFonts w:cs="Arial"/>
          <w:sz w:val="22"/>
          <w:szCs w:val="22"/>
        </w:rPr>
      </w:pPr>
      <w:r w:rsidRPr="006106EC">
        <w:rPr>
          <w:rFonts w:cs="Arial"/>
          <w:sz w:val="22"/>
          <w:szCs w:val="22"/>
        </w:rPr>
        <w:t>51.</w:t>
      </w:r>
      <w:r w:rsidRPr="006106EC">
        <w:rPr>
          <w:rFonts w:cs="Arial"/>
          <w:sz w:val="22"/>
          <w:szCs w:val="22"/>
        </w:rPr>
        <w:tab/>
        <w:t>Agency for Healthcare Research and Quality. AHRQ IQI technical documentation, version v2023. Rockville, MD. Accessed 9/27/2024, https://qualityindicators.ahrq.gov/measures/iqi_resources</w:t>
      </w:r>
    </w:p>
    <w:p w14:paraId="0894FDEC" w14:textId="77777777" w:rsidR="006106EC" w:rsidRPr="006106EC" w:rsidRDefault="006106EC" w:rsidP="006106EC">
      <w:pPr>
        <w:rPr>
          <w:rFonts w:cs="Arial"/>
          <w:sz w:val="22"/>
          <w:szCs w:val="22"/>
        </w:rPr>
      </w:pPr>
      <w:r w:rsidRPr="006106EC">
        <w:rPr>
          <w:rFonts w:cs="Arial"/>
          <w:sz w:val="22"/>
          <w:szCs w:val="22"/>
        </w:rPr>
        <w:t>52.</w:t>
      </w:r>
      <w:r w:rsidRPr="006106EC">
        <w:rPr>
          <w:rFonts w:cs="Arial"/>
          <w:sz w:val="22"/>
          <w:szCs w:val="22"/>
        </w:rPr>
        <w:tab/>
        <w:t>CDC. Core Elements of Hospital Antibiotic Stewardship Programs. (US Department of Health and Human Services, CDC) (2019. Available at https://www.cdc.gov/antibiotic-use/core-elements/hospital.html.).</w:t>
      </w:r>
    </w:p>
    <w:p w14:paraId="56DDFE7B" w14:textId="77777777" w:rsidR="006106EC" w:rsidRPr="006106EC" w:rsidRDefault="006106EC" w:rsidP="006106EC">
      <w:pPr>
        <w:rPr>
          <w:rFonts w:cs="Arial"/>
          <w:sz w:val="22"/>
          <w:szCs w:val="22"/>
        </w:rPr>
      </w:pPr>
      <w:r w:rsidRPr="006106EC">
        <w:rPr>
          <w:rFonts w:cs="Arial"/>
          <w:sz w:val="22"/>
          <w:szCs w:val="22"/>
        </w:rPr>
        <w:t>53.</w:t>
      </w:r>
      <w:r w:rsidRPr="006106EC">
        <w:rPr>
          <w:rFonts w:cs="Arial"/>
          <w:sz w:val="22"/>
          <w:szCs w:val="22"/>
        </w:rPr>
        <w:tab/>
        <w:t>The Joint Commission. R3 Report Issue 35: New and Revised Requirements for Antibiotic Stewardship 2022. https://www.jointcommission.org/-/media/tjc/documents/standards/r3-reports/r3_antibioticstewardship_july2022_final.pdf</w:t>
      </w:r>
    </w:p>
    <w:p w14:paraId="1D7893EB" w14:textId="77777777" w:rsidR="006106EC" w:rsidRPr="006106EC" w:rsidRDefault="006106EC" w:rsidP="006106EC">
      <w:pPr>
        <w:rPr>
          <w:rFonts w:cs="Arial"/>
          <w:sz w:val="22"/>
          <w:szCs w:val="22"/>
        </w:rPr>
      </w:pPr>
      <w:r w:rsidRPr="006106EC">
        <w:rPr>
          <w:rFonts w:cs="Arial"/>
          <w:sz w:val="22"/>
          <w:szCs w:val="22"/>
        </w:rPr>
        <w:t>54.</w:t>
      </w:r>
      <w:r w:rsidRPr="006106EC">
        <w:rPr>
          <w:rFonts w:cs="Arial"/>
          <w:sz w:val="22"/>
          <w:szCs w:val="22"/>
        </w:rPr>
        <w:tab/>
        <w:t>QSO-22-20-Hospitals Infection Prevention and Control and Antibiotic Stewardship Program Interpretive Guidance Update (2022).</w:t>
      </w:r>
    </w:p>
    <w:p w14:paraId="35CF730A" w14:textId="77777777" w:rsidR="006106EC" w:rsidRPr="006106EC" w:rsidRDefault="006106EC" w:rsidP="006106EC">
      <w:pPr>
        <w:rPr>
          <w:rFonts w:cs="Arial"/>
          <w:sz w:val="22"/>
          <w:szCs w:val="22"/>
        </w:rPr>
      </w:pPr>
      <w:r w:rsidRPr="006106EC">
        <w:rPr>
          <w:rFonts w:cs="Arial"/>
          <w:sz w:val="22"/>
          <w:szCs w:val="22"/>
        </w:rPr>
        <w:lastRenderedPageBreak/>
        <w:t>55.</w:t>
      </w:r>
      <w:r w:rsidRPr="006106EC">
        <w:rPr>
          <w:rFonts w:cs="Arial"/>
          <w:sz w:val="22"/>
          <w:szCs w:val="22"/>
        </w:rPr>
        <w:tab/>
        <w:t>van Santen KL, Edwards JR, Webb AK, et al. The Standardized Antimicrobial Administration Ratio: A New Metric for Measuring and Comparing Antibiotic Use. Clin Infect Dis. Jul 2 2018;67(2):179-185. doi:10.1093/</w:t>
      </w:r>
      <w:proofErr w:type="spellStart"/>
      <w:r w:rsidRPr="006106EC">
        <w:rPr>
          <w:rFonts w:cs="Arial"/>
          <w:sz w:val="22"/>
          <w:szCs w:val="22"/>
        </w:rPr>
        <w:t>cid</w:t>
      </w:r>
      <w:proofErr w:type="spellEnd"/>
      <w:r w:rsidRPr="006106EC">
        <w:rPr>
          <w:rFonts w:cs="Arial"/>
          <w:sz w:val="22"/>
          <w:szCs w:val="22"/>
        </w:rPr>
        <w:t>/ciy075</w:t>
      </w:r>
    </w:p>
    <w:p w14:paraId="727D2A36" w14:textId="77777777" w:rsidR="006106EC" w:rsidRPr="006106EC" w:rsidRDefault="006106EC" w:rsidP="006106EC">
      <w:pPr>
        <w:rPr>
          <w:rFonts w:cs="Arial"/>
          <w:sz w:val="22"/>
          <w:szCs w:val="22"/>
        </w:rPr>
      </w:pPr>
      <w:r w:rsidRPr="006106EC">
        <w:rPr>
          <w:rFonts w:cs="Arial"/>
          <w:sz w:val="22"/>
          <w:szCs w:val="22"/>
        </w:rPr>
        <w:t>56.</w:t>
      </w:r>
      <w:r w:rsidRPr="006106EC">
        <w:rPr>
          <w:rFonts w:cs="Arial"/>
          <w:sz w:val="22"/>
          <w:szCs w:val="22"/>
        </w:rPr>
        <w:tab/>
        <w:t xml:space="preserve">Department of Health and Human Services Centers for Medicare &amp; Medicaid Services. Hospital Inpatient Prospective Payment Systems for Acute Care Hospitals and the Long-Term Care Hospital Prospective Payment System and Policy Changes and Fiscal Year 2023 Rates; Quality Programs and Medicare Promoting Interoperability Program Requirements for Eligible Hospitals and Critical Access Hospitals; Costs Incurred for Qualified and Non-Qualified Deferred Compensation </w:t>
      </w:r>
      <w:proofErr w:type="spellStart"/>
      <w:r w:rsidRPr="006106EC">
        <w:rPr>
          <w:rFonts w:cs="Arial"/>
          <w:sz w:val="22"/>
          <w:szCs w:val="22"/>
        </w:rPr>
        <w:t>Pland</w:t>
      </w:r>
      <w:proofErr w:type="spellEnd"/>
      <w:r w:rsidRPr="006106EC">
        <w:rPr>
          <w:rFonts w:cs="Arial"/>
          <w:sz w:val="22"/>
          <w:szCs w:val="22"/>
        </w:rPr>
        <w:t xml:space="preserve">; and Changes to Hospital and Critical Access Hospital Conditions of Participation. Federal Register. 2022;87 (153):487780-49499. </w:t>
      </w:r>
    </w:p>
    <w:p w14:paraId="46C942D1" w14:textId="77777777" w:rsidR="006106EC" w:rsidRPr="006106EC" w:rsidRDefault="006106EC" w:rsidP="006106EC">
      <w:pPr>
        <w:rPr>
          <w:rFonts w:cs="Arial"/>
          <w:sz w:val="22"/>
          <w:szCs w:val="22"/>
        </w:rPr>
      </w:pPr>
      <w:r w:rsidRPr="006106EC">
        <w:rPr>
          <w:rFonts w:cs="Arial"/>
          <w:sz w:val="22"/>
          <w:szCs w:val="22"/>
        </w:rPr>
        <w:t>57.</w:t>
      </w:r>
      <w:r w:rsidRPr="006106EC">
        <w:rPr>
          <w:rFonts w:cs="Arial"/>
          <w:sz w:val="22"/>
          <w:szCs w:val="22"/>
        </w:rPr>
        <w:tab/>
        <w:t>Moehring R, Vaughn VM. Development of Inpatient Stewardship Metrics: Is It Time for Public Reporting? Infect Dis Clin North Am. Dec 2023;37(4):853-871. doi:10.1016/j.idc.2023.07.006</w:t>
      </w:r>
    </w:p>
    <w:p w14:paraId="321526AA" w14:textId="77777777" w:rsidR="006106EC" w:rsidRPr="006106EC" w:rsidRDefault="006106EC" w:rsidP="006106EC">
      <w:pPr>
        <w:rPr>
          <w:rFonts w:cs="Arial"/>
          <w:sz w:val="22"/>
          <w:szCs w:val="22"/>
        </w:rPr>
      </w:pPr>
      <w:r w:rsidRPr="006106EC">
        <w:rPr>
          <w:rFonts w:cs="Arial"/>
          <w:sz w:val="22"/>
          <w:szCs w:val="22"/>
        </w:rPr>
        <w:t>58.</w:t>
      </w:r>
      <w:r w:rsidRPr="006106EC">
        <w:rPr>
          <w:rFonts w:cs="Arial"/>
          <w:sz w:val="22"/>
          <w:szCs w:val="22"/>
        </w:rPr>
        <w:tab/>
        <w:t xml:space="preserve">Watkins RR, </w:t>
      </w:r>
      <w:proofErr w:type="spellStart"/>
      <w:r w:rsidRPr="006106EC">
        <w:rPr>
          <w:rFonts w:cs="Arial"/>
          <w:sz w:val="22"/>
          <w:szCs w:val="22"/>
        </w:rPr>
        <w:t>Lemonovich</w:t>
      </w:r>
      <w:proofErr w:type="spellEnd"/>
      <w:r w:rsidRPr="006106EC">
        <w:rPr>
          <w:rFonts w:cs="Arial"/>
          <w:sz w:val="22"/>
          <w:szCs w:val="22"/>
        </w:rPr>
        <w:t xml:space="preserve"> TL. Diagnosis and management of community-acquired pneumonia in adults. </w:t>
      </w:r>
      <w:proofErr w:type="gramStart"/>
      <w:r w:rsidRPr="006106EC">
        <w:rPr>
          <w:rFonts w:cs="Arial"/>
          <w:sz w:val="22"/>
          <w:szCs w:val="22"/>
        </w:rPr>
        <w:t>Am</w:t>
      </w:r>
      <w:proofErr w:type="gramEnd"/>
      <w:r w:rsidRPr="006106EC">
        <w:rPr>
          <w:rFonts w:cs="Arial"/>
          <w:sz w:val="22"/>
          <w:szCs w:val="22"/>
        </w:rPr>
        <w:t xml:space="preserve"> </w:t>
      </w:r>
      <w:proofErr w:type="gramStart"/>
      <w:r w:rsidRPr="006106EC">
        <w:rPr>
          <w:rFonts w:cs="Arial"/>
          <w:sz w:val="22"/>
          <w:szCs w:val="22"/>
        </w:rPr>
        <w:t>Fam</w:t>
      </w:r>
      <w:proofErr w:type="gramEnd"/>
      <w:r w:rsidRPr="006106EC">
        <w:rPr>
          <w:rFonts w:cs="Arial"/>
          <w:sz w:val="22"/>
          <w:szCs w:val="22"/>
        </w:rPr>
        <w:t xml:space="preserve"> Physician. Jun 1 2011;83(11):1299-306. </w:t>
      </w:r>
    </w:p>
    <w:p w14:paraId="70792052" w14:textId="77777777" w:rsidR="006106EC" w:rsidRPr="006106EC" w:rsidRDefault="006106EC" w:rsidP="006106EC">
      <w:pPr>
        <w:rPr>
          <w:rFonts w:cs="Arial"/>
          <w:sz w:val="22"/>
          <w:szCs w:val="22"/>
        </w:rPr>
      </w:pPr>
      <w:r w:rsidRPr="006106EC">
        <w:rPr>
          <w:rFonts w:cs="Arial"/>
          <w:sz w:val="22"/>
          <w:szCs w:val="22"/>
        </w:rPr>
        <w:t>59.</w:t>
      </w:r>
      <w:r w:rsidRPr="006106EC">
        <w:rPr>
          <w:rFonts w:cs="Arial"/>
          <w:sz w:val="22"/>
          <w:szCs w:val="22"/>
        </w:rPr>
        <w:tab/>
        <w:t>NHSN. Antimicrobial Use and Resistance (AUR) Module. Centers for Disease Control. https://www.cdc.gov/nhsn/pdfs/pscmanual/11pscaurcurrent.pdf</w:t>
      </w:r>
    </w:p>
    <w:p w14:paraId="71D9DE73" w14:textId="77777777" w:rsidR="006106EC" w:rsidRPr="006106EC" w:rsidRDefault="006106EC" w:rsidP="006106EC">
      <w:pPr>
        <w:rPr>
          <w:rFonts w:cs="Arial"/>
          <w:sz w:val="22"/>
          <w:szCs w:val="22"/>
        </w:rPr>
      </w:pPr>
      <w:r w:rsidRPr="006106EC">
        <w:rPr>
          <w:rFonts w:cs="Arial"/>
          <w:sz w:val="22"/>
          <w:szCs w:val="22"/>
        </w:rPr>
        <w:t>60.</w:t>
      </w:r>
      <w:r w:rsidRPr="006106EC">
        <w:rPr>
          <w:rFonts w:cs="Arial"/>
          <w:sz w:val="22"/>
          <w:szCs w:val="22"/>
        </w:rPr>
        <w:tab/>
        <w:t xml:space="preserve">Fishman N, America </w:t>
      </w:r>
      <w:proofErr w:type="spellStart"/>
      <w:r w:rsidRPr="006106EC">
        <w:rPr>
          <w:rFonts w:cs="Arial"/>
          <w:sz w:val="22"/>
          <w:szCs w:val="22"/>
        </w:rPr>
        <w:t>SfHEo</w:t>
      </w:r>
      <w:proofErr w:type="spellEnd"/>
      <w:r w:rsidRPr="006106EC">
        <w:rPr>
          <w:rFonts w:cs="Arial"/>
          <w:sz w:val="22"/>
          <w:szCs w:val="22"/>
        </w:rPr>
        <w:t xml:space="preserve">, America </w:t>
      </w:r>
      <w:proofErr w:type="spellStart"/>
      <w:r w:rsidRPr="006106EC">
        <w:rPr>
          <w:rFonts w:cs="Arial"/>
          <w:sz w:val="22"/>
          <w:szCs w:val="22"/>
        </w:rPr>
        <w:t>IDSo</w:t>
      </w:r>
      <w:proofErr w:type="spellEnd"/>
      <w:r w:rsidRPr="006106EC">
        <w:rPr>
          <w:rFonts w:cs="Arial"/>
          <w:sz w:val="22"/>
          <w:szCs w:val="22"/>
        </w:rPr>
        <w:t xml:space="preserve">. Policy statement on antimicrobial stewardship by the Society for Healthcare Epidemiology of America (SHEA), the Infectious Diseases Society of America (IDSA), and the Pediatric Infectious Diseases Society (PIDS). Infection Control &amp; Hospital Epidemiology. 2012;33(4):322-327. </w:t>
      </w:r>
    </w:p>
    <w:p w14:paraId="4E37DAF0" w14:textId="77777777" w:rsidR="006106EC" w:rsidRPr="006106EC" w:rsidRDefault="006106EC" w:rsidP="006106EC">
      <w:pPr>
        <w:rPr>
          <w:rFonts w:cs="Arial"/>
          <w:sz w:val="22"/>
          <w:szCs w:val="22"/>
        </w:rPr>
      </w:pPr>
      <w:r w:rsidRPr="006106EC">
        <w:rPr>
          <w:rFonts w:cs="Arial"/>
          <w:sz w:val="22"/>
          <w:szCs w:val="22"/>
        </w:rPr>
        <w:t>61.</w:t>
      </w:r>
      <w:r w:rsidRPr="006106EC">
        <w:rPr>
          <w:rFonts w:cs="Arial"/>
          <w:sz w:val="22"/>
          <w:szCs w:val="22"/>
        </w:rPr>
        <w:tab/>
      </w:r>
      <w:proofErr w:type="spellStart"/>
      <w:r w:rsidRPr="006106EC">
        <w:rPr>
          <w:rFonts w:cs="Arial"/>
          <w:sz w:val="22"/>
          <w:szCs w:val="22"/>
        </w:rPr>
        <w:t>Barlam</w:t>
      </w:r>
      <w:proofErr w:type="spellEnd"/>
      <w:r w:rsidRPr="006106EC">
        <w:rPr>
          <w:rFonts w:cs="Arial"/>
          <w:sz w:val="22"/>
          <w:szCs w:val="22"/>
        </w:rPr>
        <w:t xml:space="preserve"> TF, Cosgrove SE, Abbo LM, et al. Implementing an Antibiotic Stewardship Program: Guidelines by the Infectious Diseases Society of America and the Society for Healthcare Epidemiology of America. Clin Infect Dis. May 15 2016;62(10):e51-77. doi:10.1093/</w:t>
      </w:r>
      <w:proofErr w:type="spellStart"/>
      <w:r w:rsidRPr="006106EC">
        <w:rPr>
          <w:rFonts w:cs="Arial"/>
          <w:sz w:val="22"/>
          <w:szCs w:val="22"/>
        </w:rPr>
        <w:t>cid</w:t>
      </w:r>
      <w:proofErr w:type="spellEnd"/>
      <w:r w:rsidRPr="006106EC">
        <w:rPr>
          <w:rFonts w:cs="Arial"/>
          <w:sz w:val="22"/>
          <w:szCs w:val="22"/>
        </w:rPr>
        <w:t>/ciw118</w:t>
      </w:r>
    </w:p>
    <w:p w14:paraId="4FD6F816" w14:textId="77777777" w:rsidR="006106EC" w:rsidRPr="006106EC" w:rsidRDefault="006106EC" w:rsidP="006106EC">
      <w:pPr>
        <w:rPr>
          <w:rFonts w:cs="Arial"/>
          <w:sz w:val="22"/>
          <w:szCs w:val="22"/>
        </w:rPr>
      </w:pPr>
      <w:r w:rsidRPr="006106EC">
        <w:rPr>
          <w:rFonts w:cs="Arial"/>
          <w:sz w:val="22"/>
          <w:szCs w:val="22"/>
        </w:rPr>
        <w:t>62.</w:t>
      </w:r>
      <w:r w:rsidRPr="006106EC">
        <w:rPr>
          <w:rFonts w:cs="Arial"/>
          <w:sz w:val="22"/>
          <w:szCs w:val="22"/>
        </w:rPr>
        <w:tab/>
        <w:t xml:space="preserve">Borek AJ, Campbell A, Dent E, et al. Implementing interventions to reduce antibiotic use: a qualitative study in high-prescribing practices. BMC Fam </w:t>
      </w:r>
      <w:proofErr w:type="spellStart"/>
      <w:r w:rsidRPr="006106EC">
        <w:rPr>
          <w:rFonts w:cs="Arial"/>
          <w:sz w:val="22"/>
          <w:szCs w:val="22"/>
        </w:rPr>
        <w:t>Pract</w:t>
      </w:r>
      <w:proofErr w:type="spellEnd"/>
      <w:r w:rsidRPr="006106EC">
        <w:rPr>
          <w:rFonts w:cs="Arial"/>
          <w:sz w:val="22"/>
          <w:szCs w:val="22"/>
        </w:rPr>
        <w:t>. Jan 23 2021;22(1):25. doi:10.1186/s12875-021-01371-6</w:t>
      </w:r>
    </w:p>
    <w:p w14:paraId="04F8481A" w14:textId="77777777" w:rsidR="006106EC" w:rsidRPr="006106EC" w:rsidRDefault="006106EC" w:rsidP="006106EC">
      <w:pPr>
        <w:rPr>
          <w:rFonts w:cs="Arial"/>
          <w:sz w:val="22"/>
          <w:szCs w:val="22"/>
        </w:rPr>
      </w:pPr>
      <w:r w:rsidRPr="006106EC">
        <w:rPr>
          <w:rFonts w:cs="Arial"/>
          <w:sz w:val="22"/>
          <w:szCs w:val="22"/>
        </w:rPr>
        <w:t>63.</w:t>
      </w:r>
      <w:r w:rsidRPr="006106EC">
        <w:rPr>
          <w:rFonts w:cs="Arial"/>
          <w:sz w:val="22"/>
          <w:szCs w:val="22"/>
        </w:rPr>
        <w:tab/>
        <w:t>Tonkin-</w:t>
      </w:r>
      <w:proofErr w:type="spellStart"/>
      <w:r w:rsidRPr="006106EC">
        <w:rPr>
          <w:rFonts w:cs="Arial"/>
          <w:sz w:val="22"/>
          <w:szCs w:val="22"/>
        </w:rPr>
        <w:t>Crine</w:t>
      </w:r>
      <w:proofErr w:type="spellEnd"/>
      <w:r w:rsidRPr="006106EC">
        <w:rPr>
          <w:rFonts w:cs="Arial"/>
          <w:sz w:val="22"/>
          <w:szCs w:val="22"/>
        </w:rPr>
        <w:t xml:space="preserve"> S, </w:t>
      </w:r>
      <w:proofErr w:type="spellStart"/>
      <w:r w:rsidRPr="006106EC">
        <w:rPr>
          <w:rFonts w:cs="Arial"/>
          <w:sz w:val="22"/>
          <w:szCs w:val="22"/>
        </w:rPr>
        <w:t>Anthierens</w:t>
      </w:r>
      <w:proofErr w:type="spellEnd"/>
      <w:r w:rsidRPr="006106EC">
        <w:rPr>
          <w:rFonts w:cs="Arial"/>
          <w:sz w:val="22"/>
          <w:szCs w:val="22"/>
        </w:rPr>
        <w:t xml:space="preserve"> S, Francis NA, et al. Exploring patients' views of primary care consultations with contrasting interventions for acute cough: a six-country European qualitative study. NPJ Prim Care Respir Med. Jul 17 2014;24:14026. doi:10.1038/npjpcrm.2014.26</w:t>
      </w:r>
    </w:p>
    <w:p w14:paraId="43F2B455" w14:textId="77777777" w:rsidR="006106EC" w:rsidRPr="006106EC" w:rsidRDefault="006106EC" w:rsidP="006106EC">
      <w:pPr>
        <w:rPr>
          <w:rFonts w:cs="Arial"/>
          <w:sz w:val="22"/>
          <w:szCs w:val="22"/>
        </w:rPr>
      </w:pPr>
      <w:r w:rsidRPr="006106EC">
        <w:rPr>
          <w:rFonts w:cs="Arial"/>
          <w:sz w:val="22"/>
          <w:szCs w:val="22"/>
        </w:rPr>
        <w:t>64.</w:t>
      </w:r>
      <w:r w:rsidRPr="006106EC">
        <w:rPr>
          <w:rFonts w:cs="Arial"/>
          <w:sz w:val="22"/>
          <w:szCs w:val="22"/>
        </w:rPr>
        <w:tab/>
        <w:t>Centers for Disease Control and Prevention. NHSN list of common commensals. Accessed 9/30/2024, https://view.officeapps.live.com/op/view.aspx?src=https%3A%2F%2Fwww.cdc.gov%2Fnhsn%2FXLS%2Fmaster-organism-Com-Commensals-Lists.xlsx&amp;wdOrigin=BROWSELINK)</w:t>
      </w:r>
    </w:p>
    <w:p w14:paraId="50FD0522" w14:textId="77777777" w:rsidR="006106EC" w:rsidRPr="006106EC" w:rsidRDefault="006106EC" w:rsidP="006106EC">
      <w:pPr>
        <w:rPr>
          <w:rFonts w:cs="Arial"/>
          <w:sz w:val="22"/>
          <w:szCs w:val="22"/>
        </w:rPr>
      </w:pPr>
      <w:r w:rsidRPr="006106EC">
        <w:rPr>
          <w:rFonts w:cs="Arial"/>
          <w:sz w:val="22"/>
          <w:szCs w:val="22"/>
        </w:rPr>
        <w:t>65.</w:t>
      </w:r>
      <w:r w:rsidRPr="006106EC">
        <w:rPr>
          <w:rFonts w:cs="Arial"/>
          <w:sz w:val="22"/>
          <w:szCs w:val="22"/>
        </w:rPr>
        <w:tab/>
        <w:t>Mandell LA, Wunderink RG, Anzueto A, et al. Infectious Diseases Society of America/American Thoracic Society consensus guidelines on the management of community-acquired pneumonia in adults. Clin Infect Dis. Mar 1 2007;44 Suppl 2:S27-72. doi:10.1086/511159</w:t>
      </w:r>
    </w:p>
    <w:p w14:paraId="15BAC48B" w14:textId="77777777" w:rsidR="006106EC" w:rsidRPr="006106EC" w:rsidRDefault="006106EC" w:rsidP="006106EC">
      <w:pPr>
        <w:rPr>
          <w:rFonts w:cs="Arial"/>
          <w:sz w:val="22"/>
          <w:szCs w:val="22"/>
        </w:rPr>
      </w:pPr>
      <w:r w:rsidRPr="006106EC">
        <w:rPr>
          <w:rFonts w:cs="Arial"/>
          <w:sz w:val="22"/>
          <w:szCs w:val="22"/>
        </w:rPr>
        <w:t>66.</w:t>
      </w:r>
      <w:r w:rsidRPr="006106EC">
        <w:rPr>
          <w:rFonts w:cs="Arial"/>
          <w:sz w:val="22"/>
          <w:szCs w:val="22"/>
        </w:rPr>
        <w:tab/>
        <w:t xml:space="preserve">Aliberti S, </w:t>
      </w:r>
      <w:proofErr w:type="spellStart"/>
      <w:r w:rsidRPr="006106EC">
        <w:rPr>
          <w:rFonts w:cs="Arial"/>
          <w:sz w:val="22"/>
          <w:szCs w:val="22"/>
        </w:rPr>
        <w:t>Zanaboni</w:t>
      </w:r>
      <w:proofErr w:type="spellEnd"/>
      <w:r w:rsidRPr="006106EC">
        <w:rPr>
          <w:rFonts w:cs="Arial"/>
          <w:sz w:val="22"/>
          <w:szCs w:val="22"/>
        </w:rPr>
        <w:t xml:space="preserve"> AM, Wiemken T, et al. Criteria for clinical stability in </w:t>
      </w:r>
      <w:proofErr w:type="spellStart"/>
      <w:r w:rsidRPr="006106EC">
        <w:rPr>
          <w:rFonts w:cs="Arial"/>
          <w:sz w:val="22"/>
          <w:szCs w:val="22"/>
        </w:rPr>
        <w:t>hospitalised</w:t>
      </w:r>
      <w:proofErr w:type="spellEnd"/>
      <w:r w:rsidRPr="006106EC">
        <w:rPr>
          <w:rFonts w:cs="Arial"/>
          <w:sz w:val="22"/>
          <w:szCs w:val="22"/>
        </w:rPr>
        <w:t xml:space="preserve"> patients with community-acquired pneumonia. </w:t>
      </w:r>
      <w:proofErr w:type="spellStart"/>
      <w:r w:rsidRPr="006106EC">
        <w:rPr>
          <w:rFonts w:cs="Arial"/>
          <w:sz w:val="22"/>
          <w:szCs w:val="22"/>
        </w:rPr>
        <w:t>Eur</w:t>
      </w:r>
      <w:proofErr w:type="spellEnd"/>
      <w:r w:rsidRPr="006106EC">
        <w:rPr>
          <w:rFonts w:cs="Arial"/>
          <w:sz w:val="22"/>
          <w:szCs w:val="22"/>
        </w:rPr>
        <w:t xml:space="preserve"> Respir J. Sep 2013;42(3):742-9. doi:10.1183/09031936.00100812</w:t>
      </w:r>
    </w:p>
    <w:p w14:paraId="3912BE25" w14:textId="77777777" w:rsidR="006106EC" w:rsidRPr="006106EC" w:rsidRDefault="006106EC" w:rsidP="006106EC">
      <w:pPr>
        <w:rPr>
          <w:rFonts w:cs="Arial"/>
          <w:sz w:val="22"/>
          <w:szCs w:val="22"/>
        </w:rPr>
      </w:pPr>
      <w:r w:rsidRPr="006106EC">
        <w:rPr>
          <w:rFonts w:cs="Arial"/>
          <w:sz w:val="22"/>
          <w:szCs w:val="22"/>
        </w:rPr>
        <w:t>67.</w:t>
      </w:r>
      <w:r w:rsidRPr="006106EC">
        <w:rPr>
          <w:rFonts w:cs="Arial"/>
          <w:sz w:val="22"/>
          <w:szCs w:val="22"/>
        </w:rPr>
        <w:tab/>
        <w:t>Halm EA, Fine MJ, Marrie TJ, et al. Time to clinical stability in patients hospitalized with community-acquired pneumonia: implications for practice guidelines. Jama. May 13 1998;279(18):1452-7. doi:10.1001/jama.279.18.1452</w:t>
      </w:r>
    </w:p>
    <w:p w14:paraId="1F156D61" w14:textId="77777777" w:rsidR="006106EC" w:rsidRPr="006106EC" w:rsidRDefault="006106EC" w:rsidP="006106EC">
      <w:pPr>
        <w:rPr>
          <w:rFonts w:cs="Arial"/>
          <w:sz w:val="22"/>
          <w:szCs w:val="22"/>
        </w:rPr>
      </w:pPr>
      <w:r w:rsidRPr="006106EC">
        <w:rPr>
          <w:rFonts w:cs="Arial"/>
          <w:sz w:val="22"/>
          <w:szCs w:val="22"/>
        </w:rPr>
        <w:t>68.</w:t>
      </w:r>
      <w:r w:rsidRPr="006106EC">
        <w:rPr>
          <w:rFonts w:cs="Arial"/>
          <w:sz w:val="22"/>
          <w:szCs w:val="22"/>
        </w:rPr>
        <w:tab/>
        <w:t>Gupta AB, Flanders SA, Petty LA, et al. Inappropriate Diagnosis of Pneumonia Among Hospitalized Adults. JAMA Intern Med. May 1 2024;184(5):548-556. doi:10.1001/jamainternmed.2024.0077</w:t>
      </w:r>
    </w:p>
    <w:p w14:paraId="1411F736" w14:textId="77777777" w:rsidR="006106EC" w:rsidRPr="006106EC" w:rsidRDefault="006106EC" w:rsidP="006106EC">
      <w:pPr>
        <w:rPr>
          <w:rFonts w:cs="Arial"/>
          <w:sz w:val="22"/>
          <w:szCs w:val="22"/>
        </w:rPr>
      </w:pPr>
      <w:r w:rsidRPr="006106EC">
        <w:rPr>
          <w:rFonts w:cs="Arial"/>
          <w:sz w:val="22"/>
          <w:szCs w:val="22"/>
        </w:rPr>
        <w:t>69.</w:t>
      </w:r>
      <w:r w:rsidRPr="006106EC">
        <w:rPr>
          <w:rFonts w:cs="Arial"/>
          <w:sz w:val="22"/>
          <w:szCs w:val="22"/>
        </w:rPr>
        <w:tab/>
        <w:t>Gupta A, Petty L, Gandhi T, et al. Overdiagnosis of urinary tract infection linked to overdiagnosis of pneumonia: a multihospital cohort study. BMJ Qual Saf. May 2022;31(5):383-386. doi:10.1136/bmjqs-2021-013565</w:t>
      </w:r>
    </w:p>
    <w:p w14:paraId="10458559" w14:textId="77777777" w:rsidR="006106EC" w:rsidRPr="006106EC" w:rsidRDefault="006106EC" w:rsidP="006106EC">
      <w:pPr>
        <w:rPr>
          <w:rFonts w:cs="Arial"/>
          <w:sz w:val="22"/>
          <w:szCs w:val="22"/>
        </w:rPr>
      </w:pPr>
      <w:r w:rsidRPr="006106EC">
        <w:rPr>
          <w:rFonts w:cs="Arial"/>
          <w:sz w:val="22"/>
          <w:szCs w:val="22"/>
        </w:rPr>
        <w:t>70.</w:t>
      </w:r>
      <w:r w:rsidRPr="006106EC">
        <w:rPr>
          <w:rFonts w:cs="Arial"/>
          <w:sz w:val="22"/>
          <w:szCs w:val="22"/>
        </w:rPr>
        <w:tab/>
        <w:t>Vaughn VM, Gandhi TN, Chopra V, et al. Antibiotic Overuse After Hospital Discharge: A Multi-hospital Cohort Study. Clin Infect Dis. Dec 6 2021;73(11):e4499-e4506. doi:10.1093/</w:t>
      </w:r>
      <w:proofErr w:type="spellStart"/>
      <w:r w:rsidRPr="006106EC">
        <w:rPr>
          <w:rFonts w:cs="Arial"/>
          <w:sz w:val="22"/>
          <w:szCs w:val="22"/>
        </w:rPr>
        <w:t>cid</w:t>
      </w:r>
      <w:proofErr w:type="spellEnd"/>
      <w:r w:rsidRPr="006106EC">
        <w:rPr>
          <w:rFonts w:cs="Arial"/>
          <w:sz w:val="22"/>
          <w:szCs w:val="22"/>
        </w:rPr>
        <w:t>/ciaa1372</w:t>
      </w:r>
    </w:p>
    <w:p w14:paraId="561959AF" w14:textId="77777777" w:rsidR="006106EC" w:rsidRPr="006106EC" w:rsidRDefault="006106EC" w:rsidP="006106EC">
      <w:pPr>
        <w:rPr>
          <w:rFonts w:cs="Arial"/>
          <w:sz w:val="22"/>
          <w:szCs w:val="22"/>
        </w:rPr>
      </w:pPr>
      <w:r w:rsidRPr="006106EC">
        <w:rPr>
          <w:rFonts w:cs="Arial"/>
          <w:sz w:val="22"/>
          <w:szCs w:val="22"/>
        </w:rPr>
        <w:t>71.</w:t>
      </w:r>
      <w:r w:rsidRPr="006106EC">
        <w:rPr>
          <w:rFonts w:cs="Arial"/>
          <w:sz w:val="22"/>
          <w:szCs w:val="22"/>
        </w:rPr>
        <w:tab/>
        <w:t>Gandhi TN, Vaughn VM, Petty LA, et al. 2893. The Michigan Hospital Medicine Safety Consortium: Improving Patient Care by Reducing Excessive Antibiotic Use in Patients Hospitalized with Community-Acquired Pneumonia. Open Forum Infectious Diseases. 2019;6(Supplement_2):S80-S81. doi:10.1093/</w:t>
      </w:r>
      <w:proofErr w:type="spellStart"/>
      <w:r w:rsidRPr="006106EC">
        <w:rPr>
          <w:rFonts w:cs="Arial"/>
          <w:sz w:val="22"/>
          <w:szCs w:val="22"/>
        </w:rPr>
        <w:t>ofid</w:t>
      </w:r>
      <w:proofErr w:type="spellEnd"/>
      <w:r w:rsidRPr="006106EC">
        <w:rPr>
          <w:rFonts w:cs="Arial"/>
          <w:sz w:val="22"/>
          <w:szCs w:val="22"/>
        </w:rPr>
        <w:t>/ofz359.171</w:t>
      </w:r>
    </w:p>
    <w:p w14:paraId="25926AD0" w14:textId="77777777" w:rsidR="006106EC" w:rsidRPr="006106EC" w:rsidRDefault="006106EC" w:rsidP="006106EC">
      <w:pPr>
        <w:rPr>
          <w:rFonts w:cs="Arial"/>
          <w:sz w:val="22"/>
          <w:szCs w:val="22"/>
        </w:rPr>
      </w:pPr>
      <w:r w:rsidRPr="006106EC">
        <w:rPr>
          <w:rFonts w:cs="Arial"/>
          <w:sz w:val="22"/>
          <w:szCs w:val="22"/>
        </w:rPr>
        <w:t>72.</w:t>
      </w:r>
      <w:r w:rsidRPr="006106EC">
        <w:rPr>
          <w:rFonts w:cs="Arial"/>
          <w:sz w:val="22"/>
          <w:szCs w:val="22"/>
        </w:rPr>
        <w:tab/>
        <w:t>White AT, Vaughn V, Petty LA, et al. Development of patient safety measures to identify inappropriate diagnosis of common infections. Clin Infect Dis. Jan 31 2024;doi:10.1093/</w:t>
      </w:r>
      <w:proofErr w:type="spellStart"/>
      <w:r w:rsidRPr="006106EC">
        <w:rPr>
          <w:rFonts w:cs="Arial"/>
          <w:sz w:val="22"/>
          <w:szCs w:val="22"/>
        </w:rPr>
        <w:t>cid</w:t>
      </w:r>
      <w:proofErr w:type="spellEnd"/>
      <w:r w:rsidRPr="006106EC">
        <w:rPr>
          <w:rFonts w:cs="Arial"/>
          <w:sz w:val="22"/>
          <w:szCs w:val="22"/>
        </w:rPr>
        <w:t>/ciae044</w:t>
      </w:r>
    </w:p>
    <w:p w14:paraId="7D18780A" w14:textId="77777777" w:rsidR="006106EC" w:rsidRPr="006106EC" w:rsidRDefault="006106EC" w:rsidP="006106EC">
      <w:pPr>
        <w:rPr>
          <w:rFonts w:cs="Arial"/>
          <w:sz w:val="22"/>
          <w:szCs w:val="22"/>
        </w:rPr>
      </w:pPr>
      <w:r w:rsidRPr="006106EC">
        <w:rPr>
          <w:rFonts w:cs="Arial"/>
          <w:sz w:val="22"/>
          <w:szCs w:val="22"/>
        </w:rPr>
        <w:t>73.</w:t>
      </w:r>
      <w:r w:rsidRPr="006106EC">
        <w:rPr>
          <w:rFonts w:cs="Arial"/>
          <w:sz w:val="22"/>
          <w:szCs w:val="22"/>
        </w:rPr>
        <w:tab/>
        <w:t>Spivak ES, Burk M, Zhang R, et al. Management of Bacteriuria in Veterans Affairs Hospitals. Clin Infect Dis. Sep 15 2017;65(6):910-917. doi:10.1093/</w:t>
      </w:r>
      <w:proofErr w:type="spellStart"/>
      <w:r w:rsidRPr="006106EC">
        <w:rPr>
          <w:rFonts w:cs="Arial"/>
          <w:sz w:val="22"/>
          <w:szCs w:val="22"/>
        </w:rPr>
        <w:t>cid</w:t>
      </w:r>
      <w:proofErr w:type="spellEnd"/>
      <w:r w:rsidRPr="006106EC">
        <w:rPr>
          <w:rFonts w:cs="Arial"/>
          <w:sz w:val="22"/>
          <w:szCs w:val="22"/>
        </w:rPr>
        <w:t>/cix474</w:t>
      </w:r>
    </w:p>
    <w:p w14:paraId="2EC2069A" w14:textId="77777777" w:rsidR="006106EC" w:rsidRPr="006106EC" w:rsidRDefault="006106EC" w:rsidP="006106EC">
      <w:pPr>
        <w:rPr>
          <w:rFonts w:cs="Arial"/>
          <w:sz w:val="22"/>
          <w:szCs w:val="22"/>
        </w:rPr>
      </w:pPr>
      <w:r w:rsidRPr="006106EC">
        <w:rPr>
          <w:rFonts w:cs="Arial"/>
          <w:sz w:val="22"/>
          <w:szCs w:val="22"/>
        </w:rPr>
        <w:lastRenderedPageBreak/>
        <w:t>74.</w:t>
      </w:r>
      <w:r w:rsidRPr="006106EC">
        <w:rPr>
          <w:rFonts w:cs="Arial"/>
          <w:sz w:val="22"/>
          <w:szCs w:val="22"/>
        </w:rPr>
        <w:tab/>
        <w:t>Sutton JD, Carico R, Burk M, et al. Inpatient Management of Uncomplicated Skin and Soft Tissue Infections in 34 Veterans Affairs Medical Centers: A Medication Use Evaluation. Open Forum Infect Dis. Jan 2020;7(1):ofz554. doi:10.1093/</w:t>
      </w:r>
      <w:proofErr w:type="spellStart"/>
      <w:r w:rsidRPr="006106EC">
        <w:rPr>
          <w:rFonts w:cs="Arial"/>
          <w:sz w:val="22"/>
          <w:szCs w:val="22"/>
        </w:rPr>
        <w:t>ofid</w:t>
      </w:r>
      <w:proofErr w:type="spellEnd"/>
      <w:r w:rsidRPr="006106EC">
        <w:rPr>
          <w:rFonts w:cs="Arial"/>
          <w:sz w:val="22"/>
          <w:szCs w:val="22"/>
        </w:rPr>
        <w:t>/ofz554</w:t>
      </w:r>
    </w:p>
    <w:p w14:paraId="64841C3B" w14:textId="77777777" w:rsidR="006106EC" w:rsidRPr="006106EC" w:rsidRDefault="006106EC" w:rsidP="006106EC">
      <w:pPr>
        <w:rPr>
          <w:rFonts w:cs="Arial"/>
          <w:sz w:val="22"/>
          <w:szCs w:val="22"/>
        </w:rPr>
      </w:pPr>
      <w:r w:rsidRPr="006106EC">
        <w:rPr>
          <w:rFonts w:cs="Arial"/>
          <w:sz w:val="22"/>
          <w:szCs w:val="22"/>
        </w:rPr>
        <w:t>75.</w:t>
      </w:r>
      <w:r w:rsidRPr="006106EC">
        <w:rPr>
          <w:rFonts w:cs="Arial"/>
          <w:sz w:val="22"/>
          <w:szCs w:val="22"/>
        </w:rPr>
        <w:tab/>
        <w:t xml:space="preserve">Livorsi DJ, Branch-Elliman W, </w:t>
      </w:r>
      <w:proofErr w:type="spellStart"/>
      <w:r w:rsidRPr="006106EC">
        <w:rPr>
          <w:rFonts w:cs="Arial"/>
          <w:sz w:val="22"/>
          <w:szCs w:val="22"/>
        </w:rPr>
        <w:t>Drekonja</w:t>
      </w:r>
      <w:proofErr w:type="spellEnd"/>
      <w:r w:rsidRPr="006106EC">
        <w:rPr>
          <w:rFonts w:cs="Arial"/>
          <w:sz w:val="22"/>
          <w:szCs w:val="22"/>
        </w:rPr>
        <w:t xml:space="preserve"> D, et al. Research agenda for antibiotic stewardship within the Veterans' Health Administration, 2024-2028. Infect Control Hosp Epidemiol. Feb 2 2024:1-7. doi:10.1017/ice.2024.6</w:t>
      </w:r>
    </w:p>
    <w:p w14:paraId="3B3BFEEB" w14:textId="77777777" w:rsidR="006106EC" w:rsidRPr="006106EC" w:rsidRDefault="006106EC" w:rsidP="006106EC">
      <w:pPr>
        <w:rPr>
          <w:rFonts w:cs="Arial"/>
          <w:sz w:val="22"/>
          <w:szCs w:val="22"/>
        </w:rPr>
      </w:pPr>
      <w:r w:rsidRPr="006106EC">
        <w:rPr>
          <w:rFonts w:cs="Arial"/>
          <w:sz w:val="22"/>
          <w:szCs w:val="22"/>
        </w:rPr>
        <w:t>76.</w:t>
      </w:r>
      <w:r w:rsidRPr="006106EC">
        <w:rPr>
          <w:rFonts w:cs="Arial"/>
          <w:sz w:val="22"/>
          <w:szCs w:val="22"/>
        </w:rPr>
        <w:tab/>
        <w:t xml:space="preserve">Mehta HB, Li S, An H, Goodwin JS, Alexander GC, Segal JB. Development and Validation of the Summary </w:t>
      </w:r>
      <w:proofErr w:type="spellStart"/>
      <w:r w:rsidRPr="006106EC">
        <w:rPr>
          <w:rFonts w:cs="Arial"/>
          <w:sz w:val="22"/>
          <w:szCs w:val="22"/>
        </w:rPr>
        <w:t>Elixhauser</w:t>
      </w:r>
      <w:proofErr w:type="spellEnd"/>
      <w:r w:rsidRPr="006106EC">
        <w:rPr>
          <w:rFonts w:cs="Arial"/>
          <w:sz w:val="22"/>
          <w:szCs w:val="22"/>
        </w:rPr>
        <w:t xml:space="preserve"> Comorbidity Score for Use With ICD-10-CM-Coded Data Among Older Adults. Annals of internal medicine. Oct 2022;175(10):1423-1430. doi:10.7326/m21-4204</w:t>
      </w:r>
    </w:p>
    <w:p w14:paraId="07AF3E0A" w14:textId="77777777" w:rsidR="006106EC" w:rsidRPr="006106EC" w:rsidRDefault="006106EC" w:rsidP="006106EC">
      <w:pPr>
        <w:rPr>
          <w:rFonts w:cs="Arial"/>
          <w:sz w:val="22"/>
          <w:szCs w:val="22"/>
        </w:rPr>
      </w:pPr>
      <w:r w:rsidRPr="006106EC">
        <w:rPr>
          <w:rFonts w:cs="Arial"/>
          <w:sz w:val="22"/>
          <w:szCs w:val="22"/>
        </w:rPr>
        <w:t>77.</w:t>
      </w:r>
      <w:r w:rsidRPr="006106EC">
        <w:rPr>
          <w:rFonts w:cs="Arial"/>
          <w:sz w:val="22"/>
          <w:szCs w:val="22"/>
        </w:rPr>
        <w:tab/>
        <w:t>National Quality Forum. Scientific Methods Panel Evaluation Guidelines. Accessed 10/7/2024, https://www.qualityforum.org/Measuring_Performance/Scientific_Methods_Panel.aspx</w:t>
      </w:r>
    </w:p>
    <w:p w14:paraId="68EBAFBE" w14:textId="77777777" w:rsidR="006106EC" w:rsidRPr="006106EC" w:rsidRDefault="006106EC" w:rsidP="006106EC">
      <w:pPr>
        <w:rPr>
          <w:rFonts w:cs="Arial"/>
          <w:sz w:val="22"/>
          <w:szCs w:val="22"/>
        </w:rPr>
      </w:pPr>
      <w:r w:rsidRPr="006106EC">
        <w:rPr>
          <w:rFonts w:cs="Arial"/>
          <w:sz w:val="22"/>
          <w:szCs w:val="22"/>
        </w:rPr>
        <w:t>78.</w:t>
      </w:r>
      <w:r w:rsidRPr="006106EC">
        <w:rPr>
          <w:rFonts w:cs="Arial"/>
          <w:sz w:val="22"/>
          <w:szCs w:val="22"/>
        </w:rPr>
        <w:tab/>
        <w:t>Adams JL. The Reliability of Provider Profiling: A Tutorial. RAND Corporation; 2009.</w:t>
      </w:r>
    </w:p>
    <w:p w14:paraId="34C1E903" w14:textId="77777777" w:rsidR="006106EC" w:rsidRPr="006106EC" w:rsidRDefault="006106EC" w:rsidP="006106EC">
      <w:pPr>
        <w:rPr>
          <w:rFonts w:cs="Arial"/>
          <w:sz w:val="22"/>
          <w:szCs w:val="22"/>
        </w:rPr>
      </w:pPr>
      <w:r w:rsidRPr="006106EC">
        <w:rPr>
          <w:rFonts w:cs="Arial"/>
          <w:sz w:val="22"/>
          <w:szCs w:val="22"/>
        </w:rPr>
        <w:t>79.</w:t>
      </w:r>
      <w:r w:rsidRPr="006106EC">
        <w:rPr>
          <w:rFonts w:cs="Arial"/>
          <w:sz w:val="22"/>
          <w:szCs w:val="22"/>
        </w:rPr>
        <w:tab/>
        <w:t>Centers for Medicare &amp; Medicaid Services. MMS Blueprint Supplemental Material: Technical Expert Panels. https://www.cms.gov/files/document/blueprint-technical-expert-panels.pdf</w:t>
      </w:r>
    </w:p>
    <w:p w14:paraId="0E14DB87" w14:textId="77777777" w:rsidR="006106EC" w:rsidRPr="006106EC" w:rsidRDefault="006106EC" w:rsidP="006106EC">
      <w:pPr>
        <w:rPr>
          <w:rFonts w:cs="Arial"/>
          <w:sz w:val="22"/>
          <w:szCs w:val="22"/>
        </w:rPr>
      </w:pPr>
      <w:r w:rsidRPr="006106EC">
        <w:rPr>
          <w:rFonts w:cs="Arial"/>
          <w:sz w:val="22"/>
          <w:szCs w:val="22"/>
        </w:rPr>
        <w:t>80.</w:t>
      </w:r>
      <w:r w:rsidRPr="006106EC">
        <w:rPr>
          <w:rFonts w:cs="Arial"/>
          <w:sz w:val="22"/>
          <w:szCs w:val="22"/>
        </w:rPr>
        <w:tab/>
        <w:t>Centers for Medicare &amp; Medicaid Services. Measures Management System Risk Adjustment. Centers for Medicare &amp; Medicaid. Accessed 8/20/24, https://www.cms.gov/Medicare/Quality-Initiatives-Patient-Assessment-Instruments/MMS/Downloads/Risk-Adjustment.pdf</w:t>
      </w:r>
    </w:p>
    <w:p w14:paraId="51368FCD" w14:textId="77777777" w:rsidR="006106EC" w:rsidRPr="006106EC" w:rsidRDefault="006106EC" w:rsidP="006106EC">
      <w:pPr>
        <w:rPr>
          <w:rFonts w:cs="Arial"/>
          <w:sz w:val="22"/>
          <w:szCs w:val="22"/>
        </w:rPr>
      </w:pPr>
      <w:r w:rsidRPr="006106EC">
        <w:rPr>
          <w:rFonts w:cs="Arial"/>
          <w:sz w:val="22"/>
          <w:szCs w:val="22"/>
        </w:rPr>
        <w:t>81.</w:t>
      </w:r>
      <w:r w:rsidRPr="006106EC">
        <w:rPr>
          <w:rFonts w:cs="Arial"/>
          <w:sz w:val="22"/>
          <w:szCs w:val="22"/>
        </w:rPr>
        <w:tab/>
        <w:t xml:space="preserve">Ramirez JA, Wiemken TL, </w:t>
      </w:r>
      <w:proofErr w:type="spellStart"/>
      <w:r w:rsidRPr="006106EC">
        <w:rPr>
          <w:rFonts w:cs="Arial"/>
          <w:sz w:val="22"/>
          <w:szCs w:val="22"/>
        </w:rPr>
        <w:t>Peyrani</w:t>
      </w:r>
      <w:proofErr w:type="spellEnd"/>
      <w:r w:rsidRPr="006106EC">
        <w:rPr>
          <w:rFonts w:cs="Arial"/>
          <w:sz w:val="22"/>
          <w:szCs w:val="22"/>
        </w:rPr>
        <w:t xml:space="preserve"> P, et al. Adults Hospitalized </w:t>
      </w:r>
      <w:proofErr w:type="gramStart"/>
      <w:r w:rsidRPr="006106EC">
        <w:rPr>
          <w:rFonts w:cs="Arial"/>
          <w:sz w:val="22"/>
          <w:szCs w:val="22"/>
        </w:rPr>
        <w:t>With</w:t>
      </w:r>
      <w:proofErr w:type="gramEnd"/>
      <w:r w:rsidRPr="006106EC">
        <w:rPr>
          <w:rFonts w:cs="Arial"/>
          <w:sz w:val="22"/>
          <w:szCs w:val="22"/>
        </w:rPr>
        <w:t xml:space="preserve"> Pneumonia in the United States: Incidence, Epidemiology, and Mortality. Clin Infect Dis. Nov 13 2017;65(11):1806-1812. doi:10.1093/</w:t>
      </w:r>
      <w:proofErr w:type="spellStart"/>
      <w:r w:rsidRPr="006106EC">
        <w:rPr>
          <w:rFonts w:cs="Arial"/>
          <w:sz w:val="22"/>
          <w:szCs w:val="22"/>
        </w:rPr>
        <w:t>cid</w:t>
      </w:r>
      <w:proofErr w:type="spellEnd"/>
      <w:r w:rsidRPr="006106EC">
        <w:rPr>
          <w:rFonts w:cs="Arial"/>
          <w:sz w:val="22"/>
          <w:szCs w:val="22"/>
        </w:rPr>
        <w:t>/cix647</w:t>
      </w:r>
    </w:p>
    <w:p w14:paraId="3537896F" w14:textId="77777777" w:rsidR="006106EC" w:rsidRPr="006106EC" w:rsidRDefault="006106EC" w:rsidP="006106EC">
      <w:pPr>
        <w:rPr>
          <w:rFonts w:cs="Arial"/>
          <w:sz w:val="22"/>
          <w:szCs w:val="22"/>
        </w:rPr>
      </w:pPr>
      <w:r w:rsidRPr="006106EC">
        <w:rPr>
          <w:rFonts w:cs="Arial"/>
          <w:sz w:val="22"/>
          <w:szCs w:val="22"/>
        </w:rPr>
        <w:t>82.</w:t>
      </w:r>
      <w:r w:rsidRPr="006106EC">
        <w:rPr>
          <w:rFonts w:cs="Arial"/>
          <w:sz w:val="22"/>
          <w:szCs w:val="22"/>
        </w:rPr>
        <w:tab/>
        <w:t xml:space="preserve">Burton DC, Flannery B, Bennett NM, et al. Socioeconomic and racial/ethnic disparities in the incidence of bacteremic pneumonia among US adults. </w:t>
      </w:r>
      <w:proofErr w:type="gramStart"/>
      <w:r w:rsidRPr="006106EC">
        <w:rPr>
          <w:rFonts w:cs="Arial"/>
          <w:sz w:val="22"/>
          <w:szCs w:val="22"/>
        </w:rPr>
        <w:t>Am</w:t>
      </w:r>
      <w:proofErr w:type="gramEnd"/>
      <w:r w:rsidRPr="006106EC">
        <w:rPr>
          <w:rFonts w:cs="Arial"/>
          <w:sz w:val="22"/>
          <w:szCs w:val="22"/>
        </w:rPr>
        <w:t xml:space="preserve"> J Public Health. Oct 2010;100(10):1904-11. doi:10.2105/ajph.2009.181313</w:t>
      </w:r>
    </w:p>
    <w:p w14:paraId="2EA0389F" w14:textId="77777777" w:rsidR="006106EC" w:rsidRPr="006106EC" w:rsidRDefault="006106EC" w:rsidP="006106EC">
      <w:pPr>
        <w:rPr>
          <w:rFonts w:cs="Arial"/>
          <w:sz w:val="22"/>
          <w:szCs w:val="22"/>
        </w:rPr>
      </w:pPr>
      <w:r w:rsidRPr="006106EC">
        <w:rPr>
          <w:rFonts w:cs="Arial"/>
          <w:sz w:val="22"/>
          <w:szCs w:val="22"/>
        </w:rPr>
        <w:t>83.</w:t>
      </w:r>
      <w:r w:rsidRPr="006106EC">
        <w:rPr>
          <w:rFonts w:cs="Arial"/>
          <w:sz w:val="22"/>
          <w:szCs w:val="22"/>
        </w:rPr>
        <w:tab/>
      </w:r>
      <w:proofErr w:type="spellStart"/>
      <w:r w:rsidRPr="006106EC">
        <w:rPr>
          <w:rFonts w:cs="Arial"/>
          <w:sz w:val="22"/>
          <w:szCs w:val="22"/>
        </w:rPr>
        <w:t>Altawalbeh</w:t>
      </w:r>
      <w:proofErr w:type="spellEnd"/>
      <w:r w:rsidRPr="006106EC">
        <w:rPr>
          <w:rFonts w:cs="Arial"/>
          <w:sz w:val="22"/>
          <w:szCs w:val="22"/>
        </w:rPr>
        <w:t xml:space="preserve"> SM, </w:t>
      </w:r>
      <w:proofErr w:type="spellStart"/>
      <w:r w:rsidRPr="006106EC">
        <w:rPr>
          <w:rFonts w:cs="Arial"/>
          <w:sz w:val="22"/>
          <w:szCs w:val="22"/>
        </w:rPr>
        <w:t>Wateska</w:t>
      </w:r>
      <w:proofErr w:type="spellEnd"/>
      <w:r w:rsidRPr="006106EC">
        <w:rPr>
          <w:rFonts w:cs="Arial"/>
          <w:sz w:val="22"/>
          <w:szCs w:val="22"/>
        </w:rPr>
        <w:t xml:space="preserve"> AR, Nowalk MP, et al. Societal Cost of Racial Pneumococcal Disease Disparities in US Adults Aged 50 Years or Older. Appl Health Econ Health Policy. Jan 2024;22(1):61-71. doi:10.1007/s40258-023-00854-0</w:t>
      </w:r>
    </w:p>
    <w:p w14:paraId="53A908AC" w14:textId="77777777" w:rsidR="006106EC" w:rsidRPr="006106EC" w:rsidRDefault="006106EC" w:rsidP="006106EC">
      <w:pPr>
        <w:rPr>
          <w:rFonts w:cs="Arial"/>
          <w:sz w:val="22"/>
          <w:szCs w:val="22"/>
        </w:rPr>
      </w:pPr>
      <w:r w:rsidRPr="006106EC">
        <w:rPr>
          <w:rFonts w:cs="Arial"/>
          <w:sz w:val="22"/>
          <w:szCs w:val="22"/>
        </w:rPr>
        <w:t>84.</w:t>
      </w:r>
      <w:r w:rsidRPr="006106EC">
        <w:rPr>
          <w:rFonts w:cs="Arial"/>
          <w:sz w:val="22"/>
          <w:szCs w:val="22"/>
        </w:rPr>
        <w:tab/>
        <w:t xml:space="preserve">Nowalk MP, </w:t>
      </w:r>
      <w:proofErr w:type="spellStart"/>
      <w:r w:rsidRPr="006106EC">
        <w:rPr>
          <w:rFonts w:cs="Arial"/>
          <w:sz w:val="22"/>
          <w:szCs w:val="22"/>
        </w:rPr>
        <w:t>Wateska</w:t>
      </w:r>
      <w:proofErr w:type="spellEnd"/>
      <w:r w:rsidRPr="006106EC">
        <w:rPr>
          <w:rFonts w:cs="Arial"/>
          <w:sz w:val="22"/>
          <w:szCs w:val="22"/>
        </w:rPr>
        <w:t xml:space="preserve"> AR, Lin CJ, et al. Racial Disparities in Adult Pneumococcal Vaccination Indications and Pneumococcal Hospitalizations in the U.S. J Natl Med Assoc. Oct 2019;111(5):540-545. doi:10.1016/j.jnma.2019.04.011</w:t>
      </w:r>
    </w:p>
    <w:p w14:paraId="16BE9151" w14:textId="77777777" w:rsidR="006106EC" w:rsidRPr="006106EC" w:rsidRDefault="006106EC" w:rsidP="006106EC">
      <w:pPr>
        <w:rPr>
          <w:rFonts w:cs="Arial"/>
          <w:sz w:val="22"/>
          <w:szCs w:val="22"/>
        </w:rPr>
      </w:pPr>
      <w:r w:rsidRPr="006106EC">
        <w:rPr>
          <w:rFonts w:cs="Arial"/>
          <w:sz w:val="22"/>
          <w:szCs w:val="22"/>
        </w:rPr>
        <w:t>85.</w:t>
      </w:r>
      <w:r w:rsidRPr="006106EC">
        <w:rPr>
          <w:rFonts w:cs="Arial"/>
          <w:sz w:val="22"/>
          <w:szCs w:val="22"/>
        </w:rPr>
        <w:tab/>
        <w:t>Hausmann LR, Ibrahim SA, Mehrotra A, et al. Racial and ethnic disparities in pneumonia treatment and mortality. Med Care. Sep 2009;47(9):1009-17. doi:10.1097/MLR.0b013e3181a80fdc</w:t>
      </w:r>
    </w:p>
    <w:p w14:paraId="27D99A4F" w14:textId="77777777" w:rsidR="006106EC" w:rsidRPr="006106EC" w:rsidRDefault="006106EC" w:rsidP="006106EC">
      <w:pPr>
        <w:rPr>
          <w:rFonts w:cs="Arial"/>
          <w:sz w:val="22"/>
          <w:szCs w:val="22"/>
        </w:rPr>
      </w:pPr>
      <w:r w:rsidRPr="006106EC">
        <w:rPr>
          <w:rFonts w:cs="Arial"/>
          <w:sz w:val="22"/>
          <w:szCs w:val="22"/>
        </w:rPr>
        <w:t>86.</w:t>
      </w:r>
      <w:r w:rsidRPr="006106EC">
        <w:rPr>
          <w:rFonts w:cs="Arial"/>
          <w:sz w:val="22"/>
          <w:szCs w:val="22"/>
        </w:rPr>
        <w:tab/>
        <w:t xml:space="preserve">Wiemken TL, Carrico RM, Furmanek SP, et al. Socioeconomic Position and the Incidence, Severity, and Clinical Outcomes of Hospitalized Patients </w:t>
      </w:r>
      <w:proofErr w:type="gramStart"/>
      <w:r w:rsidRPr="006106EC">
        <w:rPr>
          <w:rFonts w:cs="Arial"/>
          <w:sz w:val="22"/>
          <w:szCs w:val="22"/>
        </w:rPr>
        <w:t>With</w:t>
      </w:r>
      <w:proofErr w:type="gramEnd"/>
      <w:r w:rsidRPr="006106EC">
        <w:rPr>
          <w:rFonts w:cs="Arial"/>
          <w:sz w:val="22"/>
          <w:szCs w:val="22"/>
        </w:rPr>
        <w:t xml:space="preserve"> Community-Acquired Pneumonia. Public Health Rep. May/Jun 2020;135(3):364-371. doi:10.1177/0033354920912717</w:t>
      </w:r>
    </w:p>
    <w:p w14:paraId="62017FEB" w14:textId="77777777" w:rsidR="006106EC" w:rsidRPr="006106EC" w:rsidRDefault="006106EC" w:rsidP="006106EC">
      <w:pPr>
        <w:rPr>
          <w:rFonts w:cs="Arial"/>
          <w:sz w:val="22"/>
          <w:szCs w:val="22"/>
        </w:rPr>
      </w:pPr>
      <w:r w:rsidRPr="006106EC">
        <w:rPr>
          <w:rFonts w:cs="Arial"/>
          <w:sz w:val="22"/>
          <w:szCs w:val="22"/>
        </w:rPr>
        <w:t>87.</w:t>
      </w:r>
      <w:r w:rsidRPr="006106EC">
        <w:rPr>
          <w:rFonts w:cs="Arial"/>
          <w:sz w:val="22"/>
          <w:szCs w:val="22"/>
        </w:rPr>
        <w:tab/>
        <w:t xml:space="preserve">Downing NS, Wang C, Gupta A, et al. Association of Racial and Socioeconomic Disparities </w:t>
      </w:r>
      <w:proofErr w:type="gramStart"/>
      <w:r w:rsidRPr="006106EC">
        <w:rPr>
          <w:rFonts w:cs="Arial"/>
          <w:sz w:val="22"/>
          <w:szCs w:val="22"/>
        </w:rPr>
        <w:t>With</w:t>
      </w:r>
      <w:proofErr w:type="gramEnd"/>
      <w:r w:rsidRPr="006106EC">
        <w:rPr>
          <w:rFonts w:cs="Arial"/>
          <w:sz w:val="22"/>
          <w:szCs w:val="22"/>
        </w:rPr>
        <w:t xml:space="preserve"> Outcomes Among Patients Hospitalized </w:t>
      </w:r>
      <w:proofErr w:type="gramStart"/>
      <w:r w:rsidRPr="006106EC">
        <w:rPr>
          <w:rFonts w:cs="Arial"/>
          <w:sz w:val="22"/>
          <w:szCs w:val="22"/>
        </w:rPr>
        <w:t>With</w:t>
      </w:r>
      <w:proofErr w:type="gramEnd"/>
      <w:r w:rsidRPr="006106EC">
        <w:rPr>
          <w:rFonts w:cs="Arial"/>
          <w:sz w:val="22"/>
          <w:szCs w:val="22"/>
        </w:rPr>
        <w:t xml:space="preserve"> Acute Myocardial Infarction, Heart Failure, and Pneumonia: An Analysis of Within- and Between-Hospital Variation. JAMA </w:t>
      </w:r>
      <w:proofErr w:type="spellStart"/>
      <w:r w:rsidRPr="006106EC">
        <w:rPr>
          <w:rFonts w:cs="Arial"/>
          <w:sz w:val="22"/>
          <w:szCs w:val="22"/>
        </w:rPr>
        <w:t>Netw</w:t>
      </w:r>
      <w:proofErr w:type="spellEnd"/>
      <w:r w:rsidRPr="006106EC">
        <w:rPr>
          <w:rFonts w:cs="Arial"/>
          <w:sz w:val="22"/>
          <w:szCs w:val="22"/>
        </w:rPr>
        <w:t xml:space="preserve"> Open. Sep 7 2018;1(5):e182044. doi:10.1001/jamanetworkopen.2018.2044</w:t>
      </w:r>
    </w:p>
    <w:p w14:paraId="6E95558D" w14:textId="77777777" w:rsidR="006106EC" w:rsidRPr="006106EC" w:rsidRDefault="006106EC" w:rsidP="006106EC">
      <w:pPr>
        <w:rPr>
          <w:rFonts w:cs="Arial"/>
          <w:sz w:val="22"/>
          <w:szCs w:val="22"/>
        </w:rPr>
      </w:pPr>
      <w:r w:rsidRPr="006106EC">
        <w:rPr>
          <w:rFonts w:cs="Arial"/>
          <w:sz w:val="22"/>
          <w:szCs w:val="22"/>
        </w:rPr>
        <w:t>88.</w:t>
      </w:r>
      <w:r w:rsidRPr="006106EC">
        <w:rPr>
          <w:rFonts w:cs="Arial"/>
          <w:sz w:val="22"/>
          <w:szCs w:val="22"/>
        </w:rPr>
        <w:tab/>
        <w:t xml:space="preserve">Vaughn VM, Ratz D, Greene MT, et al. Antibiotic Stewardship Strategies and Their Association </w:t>
      </w:r>
      <w:proofErr w:type="gramStart"/>
      <w:r w:rsidRPr="006106EC">
        <w:rPr>
          <w:rFonts w:cs="Arial"/>
          <w:sz w:val="22"/>
          <w:szCs w:val="22"/>
        </w:rPr>
        <w:t>With</w:t>
      </w:r>
      <w:proofErr w:type="gramEnd"/>
      <w:r w:rsidRPr="006106EC">
        <w:rPr>
          <w:rFonts w:cs="Arial"/>
          <w:sz w:val="22"/>
          <w:szCs w:val="22"/>
        </w:rPr>
        <w:t xml:space="preserve"> Antibiotic Overuse After Hospital Discharge: An Analysis of the Reducing Overuse of Antibiotics at Discharge (Road) Home Framework. Clin Infect Dis. Sep 29 2022;75(6):1063-1072. doi:10.1093/</w:t>
      </w:r>
      <w:proofErr w:type="spellStart"/>
      <w:r w:rsidRPr="006106EC">
        <w:rPr>
          <w:rFonts w:cs="Arial"/>
          <w:sz w:val="22"/>
          <w:szCs w:val="22"/>
        </w:rPr>
        <w:t>cid</w:t>
      </w:r>
      <w:proofErr w:type="spellEnd"/>
      <w:r w:rsidRPr="006106EC">
        <w:rPr>
          <w:rFonts w:cs="Arial"/>
          <w:sz w:val="22"/>
          <w:szCs w:val="22"/>
        </w:rPr>
        <w:t>/ciac104</w:t>
      </w:r>
    </w:p>
    <w:p w14:paraId="71FFF3BC" w14:textId="77777777" w:rsidR="006106EC" w:rsidRPr="006106EC" w:rsidRDefault="006106EC" w:rsidP="006106EC">
      <w:pPr>
        <w:rPr>
          <w:rFonts w:cs="Arial"/>
          <w:sz w:val="22"/>
          <w:szCs w:val="22"/>
        </w:rPr>
      </w:pPr>
      <w:r w:rsidRPr="006106EC">
        <w:rPr>
          <w:rFonts w:cs="Arial"/>
          <w:sz w:val="22"/>
          <w:szCs w:val="22"/>
        </w:rPr>
        <w:t>89.</w:t>
      </w:r>
      <w:r w:rsidRPr="006106EC">
        <w:rPr>
          <w:rFonts w:cs="Arial"/>
          <w:sz w:val="22"/>
          <w:szCs w:val="22"/>
        </w:rPr>
        <w:tab/>
        <w:t>Daniels LM, Weber DJ. Interventions to improve antibiotic prescribing at hospital discharge: A systematic review. Infect Control Hosp Epidemiol. Jan 2021;42(1):96-99. doi:10.1017/ice.2020.367</w:t>
      </w:r>
    </w:p>
    <w:p w14:paraId="461E1F75" w14:textId="53A0FB55" w:rsidR="00B505B0" w:rsidRPr="00C840A3" w:rsidRDefault="00B505B0" w:rsidP="00B505B0">
      <w:pPr>
        <w:rPr>
          <w:rFonts w:ascii="Aptos" w:hAnsi="Aptos" w:cs="Arial"/>
          <w:sz w:val="22"/>
          <w:szCs w:val="22"/>
        </w:rPr>
      </w:pPr>
      <w:r>
        <w:rPr>
          <w:rFonts w:cs="Arial"/>
          <w:sz w:val="22"/>
          <w:szCs w:val="22"/>
        </w:rPr>
        <w:t>90.</w:t>
      </w:r>
      <w:r>
        <w:rPr>
          <w:rFonts w:cs="Arial"/>
          <w:sz w:val="22"/>
          <w:szCs w:val="22"/>
        </w:rPr>
        <w:tab/>
      </w:r>
      <w:r w:rsidRPr="00C840A3">
        <w:rPr>
          <w:rFonts w:ascii="Aptos" w:hAnsi="Aptos" w:cs="Arial"/>
          <w:sz w:val="22"/>
          <w:szCs w:val="22"/>
        </w:rPr>
        <w:t xml:space="preserve">Spearman, C. (1910), Correlation Calculated </w:t>
      </w:r>
      <w:proofErr w:type="gramStart"/>
      <w:r w:rsidRPr="00C840A3">
        <w:rPr>
          <w:rFonts w:ascii="Aptos" w:hAnsi="Aptos" w:cs="Arial"/>
          <w:sz w:val="22"/>
          <w:szCs w:val="22"/>
        </w:rPr>
        <w:t>From</w:t>
      </w:r>
      <w:proofErr w:type="gramEnd"/>
      <w:r w:rsidRPr="00C840A3">
        <w:rPr>
          <w:rFonts w:ascii="Aptos" w:hAnsi="Aptos" w:cs="Arial"/>
          <w:sz w:val="22"/>
          <w:szCs w:val="22"/>
        </w:rPr>
        <w:t xml:space="preserve"> Faulty Data. </w:t>
      </w:r>
      <w:r w:rsidRPr="00C840A3">
        <w:rPr>
          <w:rFonts w:ascii="Aptos" w:hAnsi="Aptos" w:cs="Arial"/>
          <w:i/>
          <w:iCs/>
          <w:sz w:val="22"/>
          <w:szCs w:val="22"/>
        </w:rPr>
        <w:t>British Journal of Psychology</w:t>
      </w:r>
      <w:r w:rsidRPr="00C840A3">
        <w:rPr>
          <w:rFonts w:ascii="Aptos" w:hAnsi="Aptos" w:cs="Arial"/>
          <w:sz w:val="22"/>
          <w:szCs w:val="22"/>
        </w:rPr>
        <w:t>, 1904-1920, 3: 271-295.</w:t>
      </w:r>
    </w:p>
    <w:p w14:paraId="718343BC" w14:textId="1E0D6B97" w:rsidR="006B5AEF" w:rsidRDefault="00B505B0" w:rsidP="00B505B0">
      <w:pPr>
        <w:rPr>
          <w:rFonts w:ascii="Arial" w:hAnsi="Arial" w:cs="Arial"/>
          <w:sz w:val="22"/>
          <w:szCs w:val="22"/>
        </w:rPr>
      </w:pPr>
      <w:r>
        <w:rPr>
          <w:rFonts w:ascii="Aptos" w:hAnsi="Aptos" w:cs="Arial"/>
          <w:sz w:val="22"/>
          <w:szCs w:val="22"/>
        </w:rPr>
        <w:t>91.</w:t>
      </w:r>
      <w:r>
        <w:rPr>
          <w:rFonts w:ascii="Aptos" w:hAnsi="Aptos" w:cs="Arial"/>
          <w:sz w:val="22"/>
          <w:szCs w:val="22"/>
        </w:rPr>
        <w:tab/>
      </w:r>
      <w:r w:rsidRPr="00C840A3">
        <w:rPr>
          <w:rFonts w:ascii="Aptos" w:hAnsi="Aptos" w:cs="Arial"/>
          <w:sz w:val="22"/>
          <w:szCs w:val="22"/>
        </w:rPr>
        <w:t xml:space="preserve">Warrens MJ. Transforming intraclass correlation coefficients with the Spearman-Brown formula. </w:t>
      </w:r>
      <w:r w:rsidRPr="00C840A3">
        <w:rPr>
          <w:rFonts w:ascii="Aptos" w:hAnsi="Aptos" w:cs="Arial"/>
          <w:i/>
          <w:iCs/>
          <w:sz w:val="22"/>
          <w:szCs w:val="22"/>
        </w:rPr>
        <w:t>J Clin Epidemiol</w:t>
      </w:r>
      <w:r w:rsidRPr="00C840A3">
        <w:rPr>
          <w:rFonts w:ascii="Aptos" w:hAnsi="Aptos" w:cs="Arial"/>
          <w:sz w:val="22"/>
          <w:szCs w:val="22"/>
        </w:rPr>
        <w:t>. 2017 May;85:14-16</w:t>
      </w:r>
    </w:p>
    <w:sectPr w:rsidR="006B5AEF" w:rsidSect="009E1C8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21944"/>
    <w:multiLevelType w:val="hybridMultilevel"/>
    <w:tmpl w:val="201090A4"/>
    <w:lvl w:ilvl="0" w:tplc="8A0A3064">
      <w:start w:val="1"/>
      <w:numFmt w:val="bullet"/>
      <w:lvlText w:val="-"/>
      <w:lvlJc w:val="left"/>
      <w:pPr>
        <w:ind w:left="540" w:hanging="360"/>
      </w:pPr>
      <w:rPr>
        <w:rFonts w:ascii="Arial" w:eastAsiaTheme="minorHAnsi" w:hAnsi="Arial" w:cs="Arial" w:hint="default"/>
      </w:rPr>
    </w:lvl>
    <w:lvl w:ilvl="1" w:tplc="FFFFFFFF">
      <w:start w:val="1"/>
      <w:numFmt w:val="bullet"/>
      <w:lvlText w:val="o"/>
      <w:lvlJc w:val="left"/>
      <w:pPr>
        <w:ind w:left="90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 w15:restartNumberingAfterBreak="0">
    <w:nsid w:val="23EB31E5"/>
    <w:multiLevelType w:val="hybridMultilevel"/>
    <w:tmpl w:val="9670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8C308C"/>
    <w:multiLevelType w:val="hybridMultilevel"/>
    <w:tmpl w:val="7460F2D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50434F45"/>
    <w:multiLevelType w:val="hybridMultilevel"/>
    <w:tmpl w:val="0994D8B0"/>
    <w:lvl w:ilvl="0" w:tplc="0409000F">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3AC7C4A"/>
    <w:multiLevelType w:val="hybridMultilevel"/>
    <w:tmpl w:val="EE5CC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699219">
    <w:abstractNumId w:val="2"/>
  </w:num>
  <w:num w:numId="2" w16cid:durableId="1916816256">
    <w:abstractNumId w:val="1"/>
  </w:num>
  <w:num w:numId="3" w16cid:durableId="762188422">
    <w:abstractNumId w:val="4"/>
  </w:num>
  <w:num w:numId="4" w16cid:durableId="173687845">
    <w:abstractNumId w:val="0"/>
  </w:num>
  <w:num w:numId="5" w16cid:durableId="14609547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F79"/>
    <w:rsid w:val="000308F3"/>
    <w:rsid w:val="000C6AEC"/>
    <w:rsid w:val="001339DB"/>
    <w:rsid w:val="001423A1"/>
    <w:rsid w:val="001430EE"/>
    <w:rsid w:val="001618A7"/>
    <w:rsid w:val="001833EB"/>
    <w:rsid w:val="00183E41"/>
    <w:rsid w:val="001847E7"/>
    <w:rsid w:val="002038D7"/>
    <w:rsid w:val="00285C40"/>
    <w:rsid w:val="00291663"/>
    <w:rsid w:val="002957FD"/>
    <w:rsid w:val="002C73E9"/>
    <w:rsid w:val="00340B03"/>
    <w:rsid w:val="00341E4D"/>
    <w:rsid w:val="003A38EE"/>
    <w:rsid w:val="003C230E"/>
    <w:rsid w:val="003F479D"/>
    <w:rsid w:val="00412C87"/>
    <w:rsid w:val="00427F2B"/>
    <w:rsid w:val="00486111"/>
    <w:rsid w:val="004A3694"/>
    <w:rsid w:val="00512A41"/>
    <w:rsid w:val="00526E98"/>
    <w:rsid w:val="00593A98"/>
    <w:rsid w:val="005F27DC"/>
    <w:rsid w:val="006106EC"/>
    <w:rsid w:val="006B22E4"/>
    <w:rsid w:val="006B5AEF"/>
    <w:rsid w:val="006D1F55"/>
    <w:rsid w:val="00712F27"/>
    <w:rsid w:val="0079717E"/>
    <w:rsid w:val="007A2AB9"/>
    <w:rsid w:val="007D4F57"/>
    <w:rsid w:val="00855DF1"/>
    <w:rsid w:val="00856CFD"/>
    <w:rsid w:val="008644C9"/>
    <w:rsid w:val="008A648E"/>
    <w:rsid w:val="008B2170"/>
    <w:rsid w:val="008B5AB8"/>
    <w:rsid w:val="008B7DB0"/>
    <w:rsid w:val="008C5A0B"/>
    <w:rsid w:val="008D3B16"/>
    <w:rsid w:val="008E209D"/>
    <w:rsid w:val="008F748F"/>
    <w:rsid w:val="00961925"/>
    <w:rsid w:val="009765A7"/>
    <w:rsid w:val="00980FBB"/>
    <w:rsid w:val="009865B5"/>
    <w:rsid w:val="009E1C8E"/>
    <w:rsid w:val="00A37B25"/>
    <w:rsid w:val="00A96589"/>
    <w:rsid w:val="00AB487B"/>
    <w:rsid w:val="00AD40FF"/>
    <w:rsid w:val="00B13EB2"/>
    <w:rsid w:val="00B505B0"/>
    <w:rsid w:val="00B66B3B"/>
    <w:rsid w:val="00BC41B4"/>
    <w:rsid w:val="00C076E0"/>
    <w:rsid w:val="00C22202"/>
    <w:rsid w:val="00C84723"/>
    <w:rsid w:val="00CE5FBD"/>
    <w:rsid w:val="00D10388"/>
    <w:rsid w:val="00D24CE5"/>
    <w:rsid w:val="00D271BC"/>
    <w:rsid w:val="00D45F79"/>
    <w:rsid w:val="00DB5A5C"/>
    <w:rsid w:val="00E41947"/>
    <w:rsid w:val="00E42323"/>
    <w:rsid w:val="00E65A2A"/>
    <w:rsid w:val="00EB6910"/>
    <w:rsid w:val="00EE77C4"/>
    <w:rsid w:val="00F42892"/>
    <w:rsid w:val="00F61E3D"/>
    <w:rsid w:val="00F91A25"/>
    <w:rsid w:val="00FA4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BB081"/>
  <w15:chartTrackingRefBased/>
  <w15:docId w15:val="{BDCD6A4C-2CB9-421D-9B0A-3103D339E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5F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5F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F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F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F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F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F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F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F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F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5F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F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5F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F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F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F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F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F79"/>
    <w:rPr>
      <w:rFonts w:eastAsiaTheme="majorEastAsia" w:cstheme="majorBidi"/>
      <w:color w:val="272727" w:themeColor="text1" w:themeTint="D8"/>
    </w:rPr>
  </w:style>
  <w:style w:type="paragraph" w:styleId="Title">
    <w:name w:val="Title"/>
    <w:basedOn w:val="Normal"/>
    <w:next w:val="Normal"/>
    <w:link w:val="TitleChar"/>
    <w:uiPriority w:val="10"/>
    <w:qFormat/>
    <w:rsid w:val="00D45F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F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F7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F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F7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F79"/>
    <w:rPr>
      <w:i/>
      <w:iCs/>
      <w:color w:val="404040" w:themeColor="text1" w:themeTint="BF"/>
    </w:rPr>
  </w:style>
  <w:style w:type="paragraph" w:styleId="ListParagraph">
    <w:name w:val="List Paragraph"/>
    <w:basedOn w:val="Normal"/>
    <w:link w:val="ListParagraphChar"/>
    <w:uiPriority w:val="34"/>
    <w:qFormat/>
    <w:rsid w:val="00D45F79"/>
    <w:pPr>
      <w:ind w:left="720"/>
      <w:contextualSpacing/>
    </w:pPr>
  </w:style>
  <w:style w:type="character" w:styleId="IntenseEmphasis">
    <w:name w:val="Intense Emphasis"/>
    <w:basedOn w:val="DefaultParagraphFont"/>
    <w:uiPriority w:val="21"/>
    <w:qFormat/>
    <w:rsid w:val="00D45F79"/>
    <w:rPr>
      <w:i/>
      <w:iCs/>
      <w:color w:val="0F4761" w:themeColor="accent1" w:themeShade="BF"/>
    </w:rPr>
  </w:style>
  <w:style w:type="paragraph" w:styleId="IntenseQuote">
    <w:name w:val="Intense Quote"/>
    <w:basedOn w:val="Normal"/>
    <w:next w:val="Normal"/>
    <w:link w:val="IntenseQuoteChar"/>
    <w:uiPriority w:val="30"/>
    <w:qFormat/>
    <w:rsid w:val="00D45F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F79"/>
    <w:rPr>
      <w:i/>
      <w:iCs/>
      <w:color w:val="0F4761" w:themeColor="accent1" w:themeShade="BF"/>
    </w:rPr>
  </w:style>
  <w:style w:type="character" w:styleId="IntenseReference">
    <w:name w:val="Intense Reference"/>
    <w:basedOn w:val="DefaultParagraphFont"/>
    <w:uiPriority w:val="32"/>
    <w:qFormat/>
    <w:rsid w:val="00D45F79"/>
    <w:rPr>
      <w:b/>
      <w:bCs/>
      <w:smallCaps/>
      <w:color w:val="0F4761" w:themeColor="accent1" w:themeShade="BF"/>
      <w:spacing w:val="5"/>
    </w:rPr>
  </w:style>
  <w:style w:type="paragraph" w:styleId="BodyText">
    <w:name w:val="Body Text"/>
    <w:basedOn w:val="Normal"/>
    <w:link w:val="BodyTextChar"/>
    <w:uiPriority w:val="1"/>
    <w:qFormat/>
    <w:rsid w:val="003A38EE"/>
    <w:pPr>
      <w:widowControl w:val="0"/>
      <w:autoSpaceDE w:val="0"/>
      <w:autoSpaceDN w:val="0"/>
      <w:spacing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3A38EE"/>
    <w:rPr>
      <w:rFonts w:ascii="Arial" w:eastAsia="Arial" w:hAnsi="Arial" w:cs="Arial"/>
      <w:kern w:val="0"/>
      <w:sz w:val="18"/>
      <w:szCs w:val="18"/>
      <w14:ligatures w14:val="none"/>
    </w:rPr>
  </w:style>
  <w:style w:type="table" w:styleId="TableGrid">
    <w:name w:val="Table Grid"/>
    <w:basedOn w:val="TableNormal"/>
    <w:uiPriority w:val="39"/>
    <w:rsid w:val="001430EE"/>
    <w:pPr>
      <w:spacing w:line="240" w:lineRule="auto"/>
    </w:pPr>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183E41"/>
    <w:pPr>
      <w:spacing w:line="240" w:lineRule="auto"/>
    </w:pPr>
    <w:rPr>
      <w:sz w:val="22"/>
      <w:szCs w:val="22"/>
    </w:rPr>
  </w:style>
  <w:style w:type="character" w:customStyle="1" w:styleId="ListParagraphChar">
    <w:name w:val="List Paragraph Char"/>
    <w:link w:val="ListParagraph"/>
    <w:uiPriority w:val="34"/>
    <w:rsid w:val="001847E7"/>
  </w:style>
  <w:style w:type="table" w:styleId="GridTable1Light">
    <w:name w:val="Grid Table 1 Light"/>
    <w:basedOn w:val="TableNormal"/>
    <w:uiPriority w:val="46"/>
    <w:rsid w:val="00FA4AB2"/>
    <w:pPr>
      <w:spacing w:line="240" w:lineRule="auto"/>
    </w:pPr>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F479D"/>
    <w:rPr>
      <w:sz w:val="16"/>
      <w:szCs w:val="16"/>
    </w:rPr>
  </w:style>
  <w:style w:type="paragraph" w:styleId="CommentText">
    <w:name w:val="annotation text"/>
    <w:basedOn w:val="Normal"/>
    <w:link w:val="CommentTextChar"/>
    <w:uiPriority w:val="99"/>
    <w:unhideWhenUsed/>
    <w:rsid w:val="003F479D"/>
    <w:pPr>
      <w:spacing w:line="240" w:lineRule="auto"/>
    </w:pPr>
    <w:rPr>
      <w:sz w:val="20"/>
      <w:szCs w:val="20"/>
    </w:rPr>
  </w:style>
  <w:style w:type="character" w:customStyle="1" w:styleId="CommentTextChar">
    <w:name w:val="Comment Text Char"/>
    <w:basedOn w:val="DefaultParagraphFont"/>
    <w:link w:val="CommentText"/>
    <w:uiPriority w:val="99"/>
    <w:rsid w:val="003F479D"/>
    <w:rPr>
      <w:sz w:val="20"/>
      <w:szCs w:val="20"/>
    </w:rPr>
  </w:style>
  <w:style w:type="paragraph" w:styleId="CommentSubject">
    <w:name w:val="annotation subject"/>
    <w:basedOn w:val="CommentText"/>
    <w:next w:val="CommentText"/>
    <w:link w:val="CommentSubjectChar"/>
    <w:uiPriority w:val="99"/>
    <w:semiHidden/>
    <w:unhideWhenUsed/>
    <w:rsid w:val="003F479D"/>
    <w:rPr>
      <w:b/>
      <w:bCs/>
    </w:rPr>
  </w:style>
  <w:style w:type="character" w:customStyle="1" w:styleId="CommentSubjectChar">
    <w:name w:val="Comment Subject Char"/>
    <w:basedOn w:val="CommentTextChar"/>
    <w:link w:val="CommentSubject"/>
    <w:uiPriority w:val="99"/>
    <w:semiHidden/>
    <w:rsid w:val="003F479D"/>
    <w:rPr>
      <w:b/>
      <w:bCs/>
      <w:sz w:val="20"/>
      <w:szCs w:val="20"/>
    </w:rPr>
  </w:style>
  <w:style w:type="paragraph" w:customStyle="1" w:styleId="EndNoteBibliography">
    <w:name w:val="EndNote Bibliography"/>
    <w:basedOn w:val="Normal"/>
    <w:link w:val="EndNoteBibliographyChar"/>
    <w:rsid w:val="00D10388"/>
    <w:pPr>
      <w:spacing w:after="160" w:line="240" w:lineRule="auto"/>
    </w:pPr>
    <w:rPr>
      <w:rFonts w:ascii="Arial" w:hAnsi="Arial" w:cs="Arial"/>
      <w:noProof/>
      <w:sz w:val="18"/>
      <w:szCs w:val="22"/>
    </w:rPr>
  </w:style>
  <w:style w:type="character" w:customStyle="1" w:styleId="EndNoteBibliographyChar">
    <w:name w:val="EndNote Bibliography Char"/>
    <w:basedOn w:val="DefaultParagraphFont"/>
    <w:link w:val="EndNoteBibliography"/>
    <w:rsid w:val="00D10388"/>
    <w:rPr>
      <w:rFonts w:ascii="Arial" w:hAnsi="Arial" w:cs="Arial"/>
      <w:noProof/>
      <w:sz w:val="18"/>
      <w:szCs w:val="22"/>
    </w:rPr>
  </w:style>
  <w:style w:type="character" w:styleId="Hyperlink">
    <w:name w:val="Hyperlink"/>
    <w:basedOn w:val="DefaultParagraphFont"/>
    <w:uiPriority w:val="99"/>
    <w:unhideWhenUsed/>
    <w:rsid w:val="00F42892"/>
    <w:rPr>
      <w:color w:val="467886" w:themeColor="hyperlink"/>
      <w:u w:val="single"/>
    </w:rPr>
  </w:style>
  <w:style w:type="character" w:styleId="UnresolvedMention">
    <w:name w:val="Unresolved Mention"/>
    <w:basedOn w:val="DefaultParagraphFont"/>
    <w:uiPriority w:val="99"/>
    <w:semiHidden/>
    <w:unhideWhenUsed/>
    <w:rsid w:val="00F42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79260">
      <w:bodyDiv w:val="1"/>
      <w:marLeft w:val="0"/>
      <w:marRight w:val="0"/>
      <w:marTop w:val="0"/>
      <w:marBottom w:val="0"/>
      <w:divBdr>
        <w:top w:val="none" w:sz="0" w:space="0" w:color="auto"/>
        <w:left w:val="none" w:sz="0" w:space="0" w:color="auto"/>
        <w:bottom w:val="none" w:sz="0" w:space="0" w:color="auto"/>
        <w:right w:val="none" w:sz="0" w:space="0" w:color="auto"/>
      </w:divBdr>
    </w:div>
    <w:div w:id="770508534">
      <w:bodyDiv w:val="1"/>
      <w:marLeft w:val="0"/>
      <w:marRight w:val="0"/>
      <w:marTop w:val="0"/>
      <w:marBottom w:val="0"/>
      <w:divBdr>
        <w:top w:val="none" w:sz="0" w:space="0" w:color="auto"/>
        <w:left w:val="none" w:sz="0" w:space="0" w:color="auto"/>
        <w:bottom w:val="none" w:sz="0" w:space="0" w:color="auto"/>
        <w:right w:val="none" w:sz="0" w:space="0" w:color="auto"/>
      </w:divBdr>
    </w:div>
    <w:div w:id="787043243">
      <w:bodyDiv w:val="1"/>
      <w:marLeft w:val="0"/>
      <w:marRight w:val="0"/>
      <w:marTop w:val="0"/>
      <w:marBottom w:val="0"/>
      <w:divBdr>
        <w:top w:val="none" w:sz="0" w:space="0" w:color="auto"/>
        <w:left w:val="none" w:sz="0" w:space="0" w:color="auto"/>
        <w:bottom w:val="none" w:sz="0" w:space="0" w:color="auto"/>
        <w:right w:val="none" w:sz="0" w:space="0" w:color="auto"/>
      </w:divBdr>
    </w:div>
    <w:div w:id="179182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dsociety.org/globalassets/idsa/practice-guidelines/community-acquired-pneumonia-in-adults/cap-clinical-pathway-final-online.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dc.gov/antibiotic-use/healthcare/pdfs/hospital-core-elements-H.pdf" TargetMode="Externa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gs xmlns="cd2a107e-b9ef-4ceb-a1da-4a5750a1e8f6" xsi:nil="true"/>
    <TaxCatchAll xmlns="4c7d3ccd-c05a-4738-9135-4004d5465c34" xsi:nil="true"/>
    <lcf76f155ced4ddcb4097134ff3c332f xmlns="cd2a107e-b9ef-4ceb-a1da-4a5750a1e8f6">
      <Terms xmlns="http://schemas.microsoft.com/office/infopath/2007/PartnerControls"/>
    </lcf76f155ced4ddcb4097134ff3c332f>
    <Comments xmlns="cd2a107e-b9ef-4ceb-a1da-4a5750a1e8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546E1A969394D42B226EE660BD9CBEB" ma:contentTypeVersion="16" ma:contentTypeDescription="Create a new document." ma:contentTypeScope="" ma:versionID="2f317cf944c03db07674ad5abe456dc7">
  <xsd:schema xmlns:xsd="http://www.w3.org/2001/XMLSchema" xmlns:xs="http://www.w3.org/2001/XMLSchema" xmlns:p="http://schemas.microsoft.com/office/2006/metadata/properties" xmlns:ns2="cd2a107e-b9ef-4ceb-a1da-4a5750a1e8f6" xmlns:ns3="4c7d3ccd-c05a-4738-9135-4004d5465c34" targetNamespace="http://schemas.microsoft.com/office/2006/metadata/properties" ma:root="true" ma:fieldsID="a86fccecbbb96301fe70334e7bda86c0" ns2:_="" ns3:_="">
    <xsd:import namespace="cd2a107e-b9ef-4ceb-a1da-4a5750a1e8f6"/>
    <xsd:import namespace="4c7d3ccd-c05a-4738-9135-4004d5465c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Tag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a107e-b9ef-4ceb-a1da-4a5750a1e8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Tags" ma:index="21" nillable="true" ma:displayName="Tags" ma:description="Tags" ma:internalName="Tags">
      <xsd:simpleType>
        <xsd:restriction base="dms:Note">
          <xsd:maxLength value="255"/>
        </xsd:restriction>
      </xsd:simpleType>
    </xsd:element>
    <xsd:element name="Comments" ma:index="22"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7d3ccd-c05a-4738-9135-4004d5465c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5156d7-828d-4660-9737-284bdccc0463}" ma:internalName="TaxCatchAll" ma:showField="CatchAllData" ma:web="4c7d3ccd-c05a-4738-9135-4004d5465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49AFE1-F98B-4141-8309-797E8E38EDA5}">
  <ds:schemaRefs>
    <ds:schemaRef ds:uri="http://schemas.microsoft.com/sharepoint/v3/contenttype/forms"/>
  </ds:schemaRefs>
</ds:datastoreItem>
</file>

<file path=customXml/itemProps2.xml><?xml version="1.0" encoding="utf-8"?>
<ds:datastoreItem xmlns:ds="http://schemas.openxmlformats.org/officeDocument/2006/customXml" ds:itemID="{BD8FF7EE-7777-4BA5-9B6E-1FA2D1810398}">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cd2a107e-b9ef-4ceb-a1da-4a5750a1e8f6"/>
    <ds:schemaRef ds:uri="http://schemas.microsoft.com/office/infopath/2007/PartnerControls"/>
    <ds:schemaRef ds:uri="http://purl.org/dc/terms/"/>
    <ds:schemaRef ds:uri="4c7d3ccd-c05a-4738-9135-4004d5465c34"/>
    <ds:schemaRef ds:uri="http://www.w3.org/XML/1998/namespace"/>
    <ds:schemaRef ds:uri="http://purl.org/dc/dcmitype/"/>
  </ds:schemaRefs>
</ds:datastoreItem>
</file>

<file path=customXml/itemProps3.xml><?xml version="1.0" encoding="utf-8"?>
<ds:datastoreItem xmlns:ds="http://schemas.openxmlformats.org/officeDocument/2006/customXml" ds:itemID="{F19C047A-0B05-45E7-8AF8-06696E6856EF}"/>
</file>

<file path=docProps/app.xml><?xml version="1.0" encoding="utf-8"?>
<Properties xmlns="http://schemas.openxmlformats.org/officeDocument/2006/extended-properties" xmlns:vt="http://schemas.openxmlformats.org/officeDocument/2006/docPropsVTypes">
  <Template>Normal</Template>
  <TotalTime>5</TotalTime>
  <Pages>26</Pages>
  <Words>9316</Words>
  <Characters>53106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MUC2025-016-OTHER-SupplementalMaterials-MUC2025-016FINAL</dc:title>
  <dc:subject/>
  <dc:creator>University of Utah</dc:creator>
  <cp:keywords>MUC2025-016</cp:keywords>
  <dc:description/>
  <cp:lastModifiedBy>Morgan, Amanda (US)</cp:lastModifiedBy>
  <cp:revision>5</cp:revision>
  <dcterms:created xsi:type="dcterms:W3CDTF">2025-04-29T19:58:00Z</dcterms:created>
  <dcterms:modified xsi:type="dcterms:W3CDTF">2025-07-16T20:15:00Z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0x0101008546E1A969394D42B226EE660BD9CBEB</vt:lpwstr>
  </property>
  <property fmtid="{D5CDD505-2E9C-101B-9397-08002B2CF9AE}" pid="3" name="MediaServiceImageTags">
    <vt:lpwstr/>
  </property>
</Properties>
</file>